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>от «</w:t>
            </w:r>
            <w:r w:rsidR="00000FC2" w:rsidRPr="00C01221">
              <w:rPr>
                <w:b/>
                <w:sz w:val="20"/>
                <w:szCs w:val="20"/>
              </w:rPr>
              <w:t>31</w:t>
            </w:r>
            <w:r w:rsidR="00D35EFD" w:rsidRPr="00C01221">
              <w:rPr>
                <w:b/>
                <w:sz w:val="20"/>
                <w:szCs w:val="20"/>
              </w:rPr>
              <w:t>»</w:t>
            </w:r>
            <w:r w:rsidR="000F5C20" w:rsidRPr="00C01221">
              <w:rPr>
                <w:b/>
                <w:sz w:val="20"/>
                <w:szCs w:val="20"/>
              </w:rPr>
              <w:t xml:space="preserve"> </w:t>
            </w:r>
            <w:r w:rsidR="00000FC2" w:rsidRPr="00C01221">
              <w:rPr>
                <w:b/>
                <w:sz w:val="20"/>
                <w:szCs w:val="20"/>
              </w:rPr>
              <w:t>января</w:t>
            </w:r>
            <w:r w:rsidR="001618A0" w:rsidRPr="00C01221">
              <w:rPr>
                <w:b/>
                <w:sz w:val="20"/>
                <w:szCs w:val="20"/>
              </w:rPr>
              <w:t xml:space="preserve"> </w:t>
            </w:r>
            <w:r w:rsidR="00C0195C" w:rsidRPr="00C01221">
              <w:rPr>
                <w:b/>
                <w:sz w:val="20"/>
                <w:szCs w:val="20"/>
              </w:rPr>
              <w:t xml:space="preserve"> </w:t>
            </w:r>
            <w:r w:rsidRPr="00C01221">
              <w:rPr>
                <w:b/>
                <w:sz w:val="20"/>
                <w:szCs w:val="20"/>
              </w:rPr>
              <w:t>201</w:t>
            </w:r>
            <w:r w:rsidR="00EB7DC2" w:rsidRPr="00C01221">
              <w:rPr>
                <w:b/>
                <w:sz w:val="20"/>
                <w:szCs w:val="20"/>
              </w:rPr>
              <w:t>9</w:t>
            </w:r>
            <w:r w:rsidRPr="00C01221">
              <w:rPr>
                <w:b/>
                <w:sz w:val="20"/>
                <w:szCs w:val="20"/>
              </w:rPr>
              <w:t xml:space="preserve"> г.  №</w:t>
            </w:r>
            <w:r w:rsidR="00557B9E" w:rsidRPr="00C01221">
              <w:rPr>
                <w:b/>
                <w:sz w:val="20"/>
                <w:szCs w:val="20"/>
              </w:rPr>
              <w:t xml:space="preserve"> </w:t>
            </w:r>
            <w:r w:rsidR="00C01221" w:rsidRPr="00C01221">
              <w:rPr>
                <w:b/>
                <w:sz w:val="20"/>
                <w:szCs w:val="20"/>
              </w:rPr>
              <w:t>148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167454" w:rsidRDefault="00167454" w:rsidP="001059D2">
      <w:pPr>
        <w:ind w:firstLine="993"/>
        <w:jc w:val="center"/>
        <w:rPr>
          <w:b/>
          <w:sz w:val="26"/>
          <w:szCs w:val="26"/>
        </w:rPr>
      </w:pPr>
    </w:p>
    <w:p w:rsidR="00167454" w:rsidRDefault="00167454" w:rsidP="001059D2">
      <w:pPr>
        <w:ind w:firstLine="993"/>
        <w:jc w:val="center"/>
        <w:rPr>
          <w:b/>
          <w:sz w:val="26"/>
          <w:szCs w:val="26"/>
        </w:rPr>
      </w:pPr>
    </w:p>
    <w:p w:rsidR="00167454" w:rsidRDefault="00167454" w:rsidP="001059D2">
      <w:pPr>
        <w:ind w:firstLine="993"/>
        <w:jc w:val="center"/>
        <w:rPr>
          <w:b/>
          <w:sz w:val="26"/>
          <w:szCs w:val="26"/>
        </w:rPr>
      </w:pPr>
    </w:p>
    <w:p w:rsidR="001059D2" w:rsidRPr="00EB7DC2" w:rsidRDefault="001059D2" w:rsidP="001059D2">
      <w:pPr>
        <w:ind w:firstLine="993"/>
        <w:jc w:val="center"/>
        <w:rPr>
          <w:b/>
          <w:sz w:val="26"/>
          <w:szCs w:val="26"/>
        </w:rPr>
      </w:pPr>
      <w:r w:rsidRPr="00EB7DC2">
        <w:rPr>
          <w:b/>
          <w:sz w:val="26"/>
          <w:szCs w:val="26"/>
        </w:rPr>
        <w:t>Пояснительная записка</w:t>
      </w:r>
    </w:p>
    <w:p w:rsidR="001059D2" w:rsidRPr="00EB7DC2" w:rsidRDefault="001059D2" w:rsidP="001059D2">
      <w:pPr>
        <w:ind w:firstLine="993"/>
        <w:jc w:val="center"/>
        <w:rPr>
          <w:b/>
          <w:sz w:val="26"/>
          <w:szCs w:val="26"/>
        </w:rPr>
      </w:pPr>
      <w:r w:rsidRPr="00EB7DC2">
        <w:rPr>
          <w:b/>
          <w:sz w:val="26"/>
          <w:szCs w:val="26"/>
        </w:rPr>
        <w:t xml:space="preserve">к уточнению </w:t>
      </w:r>
      <w:proofErr w:type="gramStart"/>
      <w:r w:rsidRPr="00EB7DC2">
        <w:rPr>
          <w:b/>
          <w:sz w:val="26"/>
          <w:szCs w:val="26"/>
        </w:rPr>
        <w:t>бюджета</w:t>
      </w:r>
      <w:proofErr w:type="gramEnd"/>
      <w:r w:rsidRPr="00EB7DC2">
        <w:rPr>
          <w:b/>
          <w:sz w:val="26"/>
          <w:szCs w:val="26"/>
        </w:rPr>
        <w:t xml:space="preserve"> ЗАТО г. Североморск </w:t>
      </w:r>
    </w:p>
    <w:p w:rsidR="001059D2" w:rsidRPr="00EB7DC2" w:rsidRDefault="001059D2" w:rsidP="001059D2">
      <w:pPr>
        <w:ind w:firstLine="993"/>
        <w:jc w:val="center"/>
        <w:rPr>
          <w:b/>
          <w:sz w:val="26"/>
          <w:szCs w:val="26"/>
        </w:rPr>
      </w:pPr>
      <w:r w:rsidRPr="00EB7DC2">
        <w:rPr>
          <w:b/>
          <w:sz w:val="26"/>
          <w:szCs w:val="26"/>
        </w:rPr>
        <w:t>на 201</w:t>
      </w:r>
      <w:r w:rsidR="004D6089" w:rsidRPr="00EB7DC2">
        <w:rPr>
          <w:b/>
          <w:sz w:val="26"/>
          <w:szCs w:val="26"/>
        </w:rPr>
        <w:t>9</w:t>
      </w:r>
      <w:r w:rsidR="000D547C" w:rsidRPr="00EB7DC2">
        <w:rPr>
          <w:b/>
          <w:sz w:val="26"/>
          <w:szCs w:val="26"/>
        </w:rPr>
        <w:t xml:space="preserve"> год</w:t>
      </w:r>
      <w:r w:rsidR="0056068B" w:rsidRPr="00EB7DC2">
        <w:rPr>
          <w:b/>
          <w:sz w:val="26"/>
          <w:szCs w:val="26"/>
        </w:rPr>
        <w:t xml:space="preserve"> и плановый период 20</w:t>
      </w:r>
      <w:r w:rsidR="004D6089" w:rsidRPr="00EB7DC2">
        <w:rPr>
          <w:b/>
          <w:sz w:val="26"/>
          <w:szCs w:val="26"/>
        </w:rPr>
        <w:t>20</w:t>
      </w:r>
      <w:r w:rsidR="0056068B" w:rsidRPr="00EB7DC2">
        <w:rPr>
          <w:b/>
          <w:sz w:val="26"/>
          <w:szCs w:val="26"/>
        </w:rPr>
        <w:t xml:space="preserve"> и 20</w:t>
      </w:r>
      <w:r w:rsidR="00E25006" w:rsidRPr="00EB7DC2">
        <w:rPr>
          <w:b/>
          <w:sz w:val="26"/>
          <w:szCs w:val="26"/>
        </w:rPr>
        <w:t>2</w:t>
      </w:r>
      <w:r w:rsidR="004D6089" w:rsidRPr="00EB7DC2">
        <w:rPr>
          <w:b/>
          <w:sz w:val="26"/>
          <w:szCs w:val="26"/>
        </w:rPr>
        <w:t>1</w:t>
      </w:r>
      <w:r w:rsidR="0056068B" w:rsidRPr="00EB7DC2">
        <w:rPr>
          <w:b/>
          <w:sz w:val="26"/>
          <w:szCs w:val="26"/>
        </w:rPr>
        <w:t xml:space="preserve"> годов</w:t>
      </w:r>
    </w:p>
    <w:p w:rsidR="000D547C" w:rsidRPr="0065492B" w:rsidRDefault="000D547C" w:rsidP="001059D2">
      <w:pPr>
        <w:ind w:firstLine="993"/>
        <w:jc w:val="center"/>
        <w:rPr>
          <w:b/>
          <w:color w:val="FF0000"/>
          <w:sz w:val="26"/>
          <w:szCs w:val="26"/>
        </w:rPr>
      </w:pPr>
    </w:p>
    <w:p w:rsidR="001059D2" w:rsidRPr="00167454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167454">
        <w:rPr>
          <w:sz w:val="26"/>
          <w:szCs w:val="26"/>
        </w:rPr>
        <w:t>Бюджет</w:t>
      </w:r>
      <w:proofErr w:type="gramEnd"/>
      <w:r w:rsidRPr="00167454">
        <w:rPr>
          <w:sz w:val="26"/>
          <w:szCs w:val="26"/>
        </w:rPr>
        <w:t xml:space="preserve"> ЗАТО г. Североморск на 201</w:t>
      </w:r>
      <w:r w:rsidR="004D6089" w:rsidRPr="00167454">
        <w:rPr>
          <w:sz w:val="26"/>
          <w:szCs w:val="26"/>
        </w:rPr>
        <w:t>9</w:t>
      </w:r>
      <w:r w:rsidRPr="00167454">
        <w:rPr>
          <w:sz w:val="26"/>
          <w:szCs w:val="26"/>
        </w:rPr>
        <w:t xml:space="preserve"> год</w:t>
      </w:r>
      <w:r w:rsidR="0056068B" w:rsidRPr="00167454">
        <w:rPr>
          <w:sz w:val="26"/>
          <w:szCs w:val="26"/>
        </w:rPr>
        <w:t xml:space="preserve"> и плановый период 20</w:t>
      </w:r>
      <w:r w:rsidR="004D6089" w:rsidRPr="00167454">
        <w:rPr>
          <w:sz w:val="26"/>
          <w:szCs w:val="26"/>
        </w:rPr>
        <w:t>20</w:t>
      </w:r>
      <w:r w:rsidR="0056068B" w:rsidRPr="00167454">
        <w:rPr>
          <w:sz w:val="26"/>
          <w:szCs w:val="26"/>
        </w:rPr>
        <w:t xml:space="preserve"> и 20</w:t>
      </w:r>
      <w:r w:rsidR="00E25006" w:rsidRPr="00167454">
        <w:rPr>
          <w:sz w:val="26"/>
          <w:szCs w:val="26"/>
        </w:rPr>
        <w:t>2</w:t>
      </w:r>
      <w:r w:rsidR="004D6089" w:rsidRPr="00167454">
        <w:rPr>
          <w:sz w:val="26"/>
          <w:szCs w:val="26"/>
        </w:rPr>
        <w:t>1</w:t>
      </w:r>
      <w:r w:rsidR="0056068B" w:rsidRPr="00167454">
        <w:rPr>
          <w:sz w:val="26"/>
          <w:szCs w:val="26"/>
        </w:rPr>
        <w:t xml:space="preserve"> годов</w:t>
      </w:r>
      <w:r w:rsidRPr="00167454">
        <w:rPr>
          <w:sz w:val="26"/>
          <w:szCs w:val="26"/>
        </w:rPr>
        <w:t xml:space="preserve"> утвержден Решением Совета депутатов от 2</w:t>
      </w:r>
      <w:r w:rsidR="004D6089" w:rsidRPr="00167454">
        <w:rPr>
          <w:sz w:val="26"/>
          <w:szCs w:val="26"/>
        </w:rPr>
        <w:t>5</w:t>
      </w:r>
      <w:r w:rsidRPr="00167454">
        <w:rPr>
          <w:sz w:val="26"/>
          <w:szCs w:val="26"/>
        </w:rPr>
        <w:t>.12.201</w:t>
      </w:r>
      <w:r w:rsidR="004D6089" w:rsidRPr="00167454">
        <w:rPr>
          <w:sz w:val="26"/>
          <w:szCs w:val="26"/>
        </w:rPr>
        <w:t>8</w:t>
      </w:r>
      <w:r w:rsidRPr="00167454">
        <w:rPr>
          <w:sz w:val="26"/>
          <w:szCs w:val="26"/>
        </w:rPr>
        <w:t xml:space="preserve"> г. №</w:t>
      </w:r>
      <w:r w:rsidR="00EA7EF8" w:rsidRPr="00167454">
        <w:rPr>
          <w:sz w:val="26"/>
          <w:szCs w:val="26"/>
        </w:rPr>
        <w:t xml:space="preserve"> </w:t>
      </w:r>
      <w:r w:rsidR="004D6089" w:rsidRPr="00167454">
        <w:rPr>
          <w:sz w:val="26"/>
          <w:szCs w:val="26"/>
        </w:rPr>
        <w:t>453</w:t>
      </w:r>
      <w:r w:rsidR="003832BE" w:rsidRPr="00167454">
        <w:rPr>
          <w:sz w:val="26"/>
          <w:szCs w:val="26"/>
        </w:rPr>
        <w:t xml:space="preserve"> </w:t>
      </w:r>
      <w:r w:rsidRPr="00167454">
        <w:rPr>
          <w:sz w:val="26"/>
          <w:szCs w:val="26"/>
        </w:rPr>
        <w:t>с основными параметрами:</w:t>
      </w:r>
    </w:p>
    <w:p w:rsidR="00842AC2" w:rsidRPr="00167454" w:rsidRDefault="00842AC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>на 201</w:t>
      </w:r>
      <w:r w:rsidR="004D6089" w:rsidRPr="00167454">
        <w:rPr>
          <w:sz w:val="26"/>
          <w:szCs w:val="26"/>
        </w:rPr>
        <w:t>9</w:t>
      </w:r>
      <w:r w:rsidRPr="00167454">
        <w:rPr>
          <w:sz w:val="26"/>
          <w:szCs w:val="26"/>
        </w:rPr>
        <w:t xml:space="preserve"> год: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прогнозируемый общий объем </w:t>
      </w:r>
      <w:proofErr w:type="gramStart"/>
      <w:r w:rsidRPr="00167454">
        <w:rPr>
          <w:sz w:val="26"/>
          <w:szCs w:val="26"/>
        </w:rPr>
        <w:t>доходов</w:t>
      </w:r>
      <w:proofErr w:type="gramEnd"/>
      <w:r w:rsidRPr="00167454">
        <w:rPr>
          <w:sz w:val="26"/>
          <w:szCs w:val="26"/>
        </w:rPr>
        <w:t xml:space="preserve"> ЗАТО г. Североморск  в сумме  3 135 102,1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общий объем расходов </w:t>
      </w:r>
      <w:proofErr w:type="gramStart"/>
      <w:r w:rsidRPr="00167454">
        <w:rPr>
          <w:sz w:val="26"/>
          <w:szCs w:val="26"/>
        </w:rPr>
        <w:t>бюджета</w:t>
      </w:r>
      <w:proofErr w:type="gramEnd"/>
      <w:r w:rsidRPr="00167454">
        <w:rPr>
          <w:sz w:val="26"/>
          <w:szCs w:val="26"/>
        </w:rPr>
        <w:t xml:space="preserve"> ЗАТО г. Североморск  в сумме 3 204 847,6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167454">
        <w:rPr>
          <w:sz w:val="26"/>
          <w:szCs w:val="26"/>
        </w:rPr>
        <w:t>долга</w:t>
      </w:r>
      <w:proofErr w:type="gramEnd"/>
      <w:r w:rsidRPr="00167454">
        <w:rPr>
          <w:sz w:val="26"/>
          <w:szCs w:val="26"/>
        </w:rPr>
        <w:t xml:space="preserve"> ЗАТО г. Североморск на 1 января 2020 года в сумме 271 900,0 тыс. рублей, в том числе верхний предел долга по муниципальным  гарантиям ЗАТО г. Североморск в сумме 0,0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дефицит </w:t>
      </w:r>
      <w:proofErr w:type="gramStart"/>
      <w:r w:rsidRPr="00167454">
        <w:rPr>
          <w:sz w:val="26"/>
          <w:szCs w:val="26"/>
        </w:rPr>
        <w:t>бюджета</w:t>
      </w:r>
      <w:proofErr w:type="gramEnd"/>
      <w:r w:rsidRPr="00167454">
        <w:rPr>
          <w:sz w:val="26"/>
          <w:szCs w:val="26"/>
        </w:rPr>
        <w:t xml:space="preserve"> ЗАТО г. Североморск  в сумме 69 745,5 тыс. рублей.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>на 2020 год и на 2021 год: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прогнозируемый общий объем доходов </w:t>
      </w:r>
      <w:proofErr w:type="gramStart"/>
      <w:r w:rsidRPr="00167454">
        <w:rPr>
          <w:sz w:val="26"/>
          <w:szCs w:val="26"/>
        </w:rPr>
        <w:t>бюджета</w:t>
      </w:r>
      <w:proofErr w:type="gramEnd"/>
      <w:r w:rsidRPr="00167454">
        <w:rPr>
          <w:sz w:val="26"/>
          <w:szCs w:val="26"/>
        </w:rPr>
        <w:t xml:space="preserve"> ЗАТО г. Североморск  на 2020 год в сумме 3 275 149,5 тыс. рублей и на 2021 год в сумме 2 748 812,4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общий   объем     расходов </w:t>
      </w:r>
      <w:proofErr w:type="gramStart"/>
      <w:r w:rsidRPr="00167454">
        <w:rPr>
          <w:sz w:val="26"/>
          <w:szCs w:val="26"/>
        </w:rPr>
        <w:t>бюджета</w:t>
      </w:r>
      <w:proofErr w:type="gramEnd"/>
      <w:r w:rsidRPr="00167454">
        <w:rPr>
          <w:sz w:val="26"/>
          <w:szCs w:val="26"/>
        </w:rPr>
        <w:t xml:space="preserve"> ЗАТО г. Североморск    на 2020 год   в  сумме 3 382 283,4 тыс. рублей, в том числе условно утвержденные расходы в сумме 41 533,8 тыс. рублей и на 2021 год в сумме 2 774 389,6 тыс. рублей, в том числе условно утвержденные расходы в сумме 82 719,4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167454">
        <w:rPr>
          <w:sz w:val="26"/>
          <w:szCs w:val="26"/>
        </w:rPr>
        <w:t>долга</w:t>
      </w:r>
      <w:proofErr w:type="gramEnd"/>
      <w:r w:rsidRPr="00167454">
        <w:rPr>
          <w:sz w:val="26"/>
          <w:szCs w:val="26"/>
        </w:rPr>
        <w:t xml:space="preserve"> ЗАТО г. Североморск  на 1 января 2021 года в сумме 379 000,0 тыс. рублей, в том числе верхний предел долга по муниципальным гарантиям ЗАТО г. Североморск  в сумме 0,0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lastRenderedPageBreak/>
        <w:t xml:space="preserve">- верхний предел муниципального внутреннего </w:t>
      </w:r>
      <w:proofErr w:type="gramStart"/>
      <w:r w:rsidRPr="00167454">
        <w:rPr>
          <w:sz w:val="26"/>
          <w:szCs w:val="26"/>
        </w:rPr>
        <w:t>долга</w:t>
      </w:r>
      <w:proofErr w:type="gramEnd"/>
      <w:r w:rsidRPr="00167454">
        <w:rPr>
          <w:sz w:val="26"/>
          <w:szCs w:val="26"/>
        </w:rPr>
        <w:t xml:space="preserve"> ЗАТО г. Североморск  на 1 января 2022 года в сумме 404 550,0 тыс. рублей, в том числе верхний предел долга по муниципальным  гарантиям ЗАТО г. Североморск  в сумме 0,0 тыс. рублей;</w:t>
      </w:r>
    </w:p>
    <w:p w:rsidR="004D6089" w:rsidRPr="00167454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- дефицит </w:t>
      </w:r>
      <w:proofErr w:type="gramStart"/>
      <w:r w:rsidRPr="00167454">
        <w:rPr>
          <w:sz w:val="26"/>
          <w:szCs w:val="26"/>
        </w:rPr>
        <w:t>бюджета</w:t>
      </w:r>
      <w:proofErr w:type="gramEnd"/>
      <w:r w:rsidRPr="00167454">
        <w:rPr>
          <w:sz w:val="26"/>
          <w:szCs w:val="26"/>
        </w:rPr>
        <w:t xml:space="preserve"> ЗАТО г. Североморск  на 2020 год в сумме 107 133,8 тыс. рублей и на 2021 год в сумме 25 577,1 тыс.  рублей.</w:t>
      </w:r>
    </w:p>
    <w:p w:rsidR="00095F40" w:rsidRPr="00167454" w:rsidRDefault="00E100BC" w:rsidP="00E8598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</w:t>
      </w:r>
      <w:proofErr w:type="gramStart"/>
      <w:r w:rsidRPr="00167454">
        <w:rPr>
          <w:sz w:val="26"/>
          <w:szCs w:val="26"/>
        </w:rPr>
        <w:t>депутатов</w:t>
      </w:r>
      <w:proofErr w:type="gramEnd"/>
      <w:r w:rsidRPr="00167454">
        <w:rPr>
          <w:sz w:val="26"/>
          <w:szCs w:val="26"/>
        </w:rPr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167454">
        <w:rPr>
          <w:sz w:val="26"/>
          <w:szCs w:val="26"/>
        </w:rPr>
        <w:t>на основании обращений главных распорядителей бюджетных средств подготовлен</w:t>
      </w:r>
      <w:r w:rsidR="001966E3" w:rsidRPr="00167454">
        <w:rPr>
          <w:sz w:val="26"/>
          <w:szCs w:val="26"/>
        </w:rPr>
        <w:t xml:space="preserve"> проект решения о внесении </w:t>
      </w:r>
      <w:r w:rsidR="004D6089" w:rsidRPr="00167454">
        <w:rPr>
          <w:sz w:val="26"/>
          <w:szCs w:val="26"/>
        </w:rPr>
        <w:t>изменени</w:t>
      </w:r>
      <w:r w:rsidR="001966E3" w:rsidRPr="00167454">
        <w:rPr>
          <w:sz w:val="26"/>
          <w:szCs w:val="26"/>
        </w:rPr>
        <w:t>й в бюджет на 2019 год и плановый период 2020 и 2021 годов.</w:t>
      </w:r>
      <w:r w:rsidR="00167454">
        <w:rPr>
          <w:sz w:val="26"/>
          <w:szCs w:val="26"/>
        </w:rPr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>
        <w:rPr>
          <w:sz w:val="26"/>
          <w:szCs w:val="26"/>
        </w:rPr>
        <w:t>по итогам</w:t>
      </w:r>
      <w:r w:rsidR="00167454">
        <w:rPr>
          <w:sz w:val="26"/>
          <w:szCs w:val="26"/>
        </w:rPr>
        <w:t xml:space="preserve"> заседаний</w:t>
      </w:r>
      <w:proofErr w:type="gramStart"/>
      <w:r w:rsidR="00167454">
        <w:rPr>
          <w:sz w:val="26"/>
          <w:szCs w:val="26"/>
        </w:rPr>
        <w:t xml:space="preserve"> </w:t>
      </w:r>
      <w:proofErr w:type="spellStart"/>
      <w:r w:rsidR="00167454">
        <w:rPr>
          <w:sz w:val="26"/>
          <w:szCs w:val="26"/>
        </w:rPr>
        <w:t>П</w:t>
      </w:r>
      <w:proofErr w:type="gramEnd"/>
      <w:r w:rsidR="00167454">
        <w:rPr>
          <w:sz w:val="26"/>
          <w:szCs w:val="26"/>
        </w:rPr>
        <w:t>рограммно</w:t>
      </w:r>
      <w:proofErr w:type="spellEnd"/>
      <w:r w:rsidR="00167454">
        <w:rPr>
          <w:sz w:val="26"/>
          <w:szCs w:val="26"/>
        </w:rPr>
        <w:t xml:space="preserve"> – целевого Совета администрации ЗАТО г. Североморск. </w:t>
      </w:r>
    </w:p>
    <w:p w:rsidR="001966E3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167454">
        <w:rPr>
          <w:sz w:val="26"/>
          <w:szCs w:val="26"/>
        </w:rPr>
        <w:t>депутатов</w:t>
      </w:r>
      <w:proofErr w:type="gramEnd"/>
      <w:r w:rsidRPr="00167454">
        <w:rPr>
          <w:sz w:val="26"/>
          <w:szCs w:val="26"/>
        </w:rPr>
        <w:t xml:space="preserve"> ЗАТО г. Североморск «О бюджете муниципального образования ЗАТО г. Североморск на 2019 год и плановый период 2020 и 2021 годов»   </w:t>
      </w:r>
      <w:r w:rsidRPr="00167454">
        <w:rPr>
          <w:b/>
          <w:sz w:val="26"/>
          <w:szCs w:val="26"/>
        </w:rPr>
        <w:t>затронули</w:t>
      </w:r>
      <w:r w:rsidRPr="00167454">
        <w:rPr>
          <w:sz w:val="26"/>
          <w:szCs w:val="26"/>
        </w:rPr>
        <w:t xml:space="preserve"> основные параметры бюджета на 2019 год и составили:</w:t>
      </w:r>
    </w:p>
    <w:p w:rsidR="00167454" w:rsidRPr="00167454" w:rsidRDefault="00167454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tbl>
      <w:tblPr>
        <w:tblW w:w="9290" w:type="dxa"/>
        <w:tblInd w:w="93" w:type="dxa"/>
        <w:tblLook w:val="04A0" w:firstRow="1" w:lastRow="0" w:firstColumn="1" w:lastColumn="0" w:noHBand="0" w:noVBand="1"/>
      </w:tblPr>
      <w:tblGrid>
        <w:gridCol w:w="4410"/>
        <w:gridCol w:w="1660"/>
        <w:gridCol w:w="1500"/>
        <w:gridCol w:w="1720"/>
      </w:tblGrid>
      <w:tr w:rsidR="001C5826" w:rsidRPr="001C5826" w:rsidTr="001C5826">
        <w:trPr>
          <w:trHeight w:val="321"/>
        </w:trPr>
        <w:tc>
          <w:tcPr>
            <w:tcW w:w="4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 xml:space="preserve">Основные параметры </w:t>
            </w:r>
            <w:proofErr w:type="gramStart"/>
            <w:r w:rsidRPr="001C5826">
              <w:rPr>
                <w:color w:val="000000"/>
                <w:sz w:val="20"/>
                <w:szCs w:val="20"/>
              </w:rPr>
              <w:t>бюджета</w:t>
            </w:r>
            <w:proofErr w:type="gramEnd"/>
            <w:r w:rsidRPr="001C5826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4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 xml:space="preserve"> 2019 год (тыс. рублей) </w:t>
            </w:r>
          </w:p>
        </w:tc>
      </w:tr>
      <w:tr w:rsidR="001C5826" w:rsidRPr="001C5826" w:rsidTr="001C5826">
        <w:trPr>
          <w:trHeight w:val="765"/>
        </w:trPr>
        <w:tc>
          <w:tcPr>
            <w:tcW w:w="4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 xml:space="preserve"> Утверждено Решением о бюджете 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 xml:space="preserve"> Изменения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 xml:space="preserve"> Проект Решения </w:t>
            </w:r>
          </w:p>
        </w:tc>
      </w:tr>
      <w:tr w:rsidR="001C5826" w:rsidRPr="001C5826" w:rsidTr="001C5826">
        <w:trPr>
          <w:trHeight w:val="230"/>
        </w:trPr>
        <w:tc>
          <w:tcPr>
            <w:tcW w:w="4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</w:p>
        </w:tc>
      </w:tr>
      <w:tr w:rsidR="001C5826" w:rsidRPr="001C5826" w:rsidTr="001C5826">
        <w:trPr>
          <w:trHeight w:val="213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>Общий объем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3 135 102,1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3 135 102,1</w:t>
            </w:r>
          </w:p>
        </w:tc>
      </w:tr>
      <w:tr w:rsidR="001C5826" w:rsidRPr="001C5826" w:rsidTr="001C5826">
        <w:trPr>
          <w:trHeight w:val="259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>Общий объем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3 204 847,6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22 070,0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3 226 917,7</w:t>
            </w:r>
          </w:p>
        </w:tc>
      </w:tr>
      <w:tr w:rsidR="001C5826" w:rsidRPr="001C5826" w:rsidTr="001C5826">
        <w:trPr>
          <w:trHeight w:val="263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>Дефицит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69 745,5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22 070,0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91 815,5</w:t>
            </w:r>
          </w:p>
        </w:tc>
      </w:tr>
      <w:tr w:rsidR="001C5826" w:rsidRPr="001C5826" w:rsidTr="001C5826">
        <w:trPr>
          <w:trHeight w:val="253"/>
        </w:trPr>
        <w:tc>
          <w:tcPr>
            <w:tcW w:w="4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rPr>
                <w:color w:val="000000"/>
                <w:sz w:val="20"/>
                <w:szCs w:val="20"/>
              </w:rPr>
            </w:pPr>
            <w:r w:rsidRPr="001C5826">
              <w:rPr>
                <w:color w:val="000000"/>
                <w:sz w:val="20"/>
                <w:szCs w:val="20"/>
              </w:rPr>
              <w:t>Верхний предел муниципального внутреннего долга на 01.01.2020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CA19F9" w:rsidP="001C5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271 900,0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CA19F9" w:rsidP="001C5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271 900,0</w:t>
            </w:r>
          </w:p>
        </w:tc>
      </w:tr>
      <w:tr w:rsidR="001C5826" w:rsidRPr="001C5826" w:rsidTr="001C5826">
        <w:trPr>
          <w:trHeight w:val="345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C5826">
              <w:rPr>
                <w:i/>
                <w:iCs/>
                <w:color w:val="000000"/>
                <w:sz w:val="20"/>
                <w:szCs w:val="20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826" w:rsidRPr="001C5826" w:rsidRDefault="001C5826" w:rsidP="001C5826">
            <w:pPr>
              <w:jc w:val="center"/>
              <w:rPr>
                <w:sz w:val="20"/>
                <w:szCs w:val="20"/>
              </w:rPr>
            </w:pPr>
            <w:r w:rsidRPr="001C5826">
              <w:rPr>
                <w:sz w:val="20"/>
                <w:szCs w:val="20"/>
              </w:rPr>
              <w:t>-</w:t>
            </w:r>
          </w:p>
        </w:tc>
      </w:tr>
    </w:tbl>
    <w:p w:rsidR="001966E3" w:rsidRPr="00BA33C0" w:rsidRDefault="001966E3" w:rsidP="001966E3">
      <w:pPr>
        <w:autoSpaceDE w:val="0"/>
        <w:autoSpaceDN w:val="0"/>
        <w:adjustRightInd w:val="0"/>
        <w:ind w:firstLine="720"/>
        <w:jc w:val="both"/>
      </w:pPr>
    </w:p>
    <w:p w:rsidR="001966E3" w:rsidRPr="00167454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>Основные параметры бюджета на 2020 и 2021 годы не изменились.</w:t>
      </w:r>
    </w:p>
    <w:p w:rsidR="00EB5FA4" w:rsidRPr="00167454" w:rsidRDefault="00EB5FA4" w:rsidP="00E100BC">
      <w:pPr>
        <w:tabs>
          <w:tab w:val="left" w:pos="0"/>
        </w:tabs>
        <w:ind w:firstLine="720"/>
        <w:jc w:val="both"/>
        <w:rPr>
          <w:b/>
          <w:color w:val="FF0000"/>
          <w:sz w:val="26"/>
          <w:szCs w:val="26"/>
          <w:highlight w:val="lightGray"/>
        </w:rPr>
      </w:pPr>
    </w:p>
    <w:p w:rsidR="00487A08" w:rsidRPr="00167454" w:rsidRDefault="00487A08" w:rsidP="00487A08">
      <w:pPr>
        <w:tabs>
          <w:tab w:val="left" w:pos="0"/>
        </w:tabs>
        <w:ind w:firstLine="720"/>
        <w:jc w:val="both"/>
        <w:rPr>
          <w:b/>
          <w:sz w:val="26"/>
          <w:szCs w:val="26"/>
        </w:rPr>
      </w:pPr>
      <w:r w:rsidRPr="00167454">
        <w:rPr>
          <w:b/>
          <w:sz w:val="26"/>
          <w:szCs w:val="26"/>
        </w:rPr>
        <w:t xml:space="preserve">1. Доходы бюджета. </w:t>
      </w:r>
    </w:p>
    <w:p w:rsidR="006714B5" w:rsidRDefault="006714B5" w:rsidP="00487A0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87A08" w:rsidRPr="00167454" w:rsidRDefault="00487A08" w:rsidP="00487A0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67454">
        <w:rPr>
          <w:sz w:val="26"/>
          <w:szCs w:val="26"/>
        </w:rPr>
        <w:t>Общий объем доходов бюджета на 2019 год и плановый период не изменился. При этом</w:t>
      </w:r>
      <w:proofErr w:type="gramStart"/>
      <w:r w:rsidRPr="00167454">
        <w:rPr>
          <w:sz w:val="26"/>
          <w:szCs w:val="26"/>
        </w:rPr>
        <w:t>,</w:t>
      </w:r>
      <w:proofErr w:type="gramEnd"/>
      <w:r w:rsidRPr="00167454">
        <w:rPr>
          <w:sz w:val="26"/>
          <w:szCs w:val="26"/>
        </w:rPr>
        <w:t xml:space="preserve"> в связи с изменением порядка </w:t>
      </w:r>
      <w:r w:rsidRPr="00167454">
        <w:rPr>
          <w:rFonts w:eastAsiaTheme="minorHAnsi"/>
          <w:sz w:val="26"/>
          <w:szCs w:val="26"/>
          <w:lang w:eastAsia="en-US"/>
        </w:rPr>
        <w:t>формирования и применения кодов бюджетной классификации Российской Федерации, в доходную часть внесены следующие изменения:</w:t>
      </w:r>
      <w:r w:rsidRPr="00167454">
        <w:rPr>
          <w:sz w:val="26"/>
          <w:szCs w:val="26"/>
        </w:rPr>
        <w:t xml:space="preserve"> </w:t>
      </w: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4A0EDC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  <w:lang w:val="en-US"/>
        </w:rPr>
      </w:pPr>
    </w:p>
    <w:p w:rsidR="006714B5" w:rsidRDefault="004A0EDC" w:rsidP="00C05CCD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167454">
        <w:rPr>
          <w:sz w:val="26"/>
          <w:szCs w:val="26"/>
        </w:rPr>
        <w:lastRenderedPageBreak/>
        <w:t>рублей</w:t>
      </w:r>
    </w:p>
    <w:p w:rsidR="006714B5" w:rsidRDefault="006714B5" w:rsidP="004A0ED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05CCD" w:rsidRPr="00167454" w:rsidRDefault="004A0EDC" w:rsidP="00C05CCD">
      <w:pPr>
        <w:autoSpaceDE w:val="0"/>
        <w:autoSpaceDN w:val="0"/>
        <w:adjustRightInd w:val="0"/>
        <w:ind w:firstLine="540"/>
        <w:jc w:val="right"/>
        <w:rPr>
          <w:rFonts w:eastAsiaTheme="minorHAnsi"/>
          <w:sz w:val="26"/>
          <w:szCs w:val="26"/>
          <w:lang w:eastAsia="en-US"/>
        </w:rPr>
      </w:pPr>
      <w:bookmarkStart w:id="0" w:name="_GoBack"/>
      <w:r w:rsidRPr="004A0EDC">
        <w:drawing>
          <wp:inline distT="0" distB="0" distL="0" distR="0" wp14:anchorId="61756545" wp14:editId="6FBAFAC7">
            <wp:extent cx="5850890" cy="749707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749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87A08" w:rsidRPr="00167454" w:rsidRDefault="00487A08" w:rsidP="00487A08">
      <w:pPr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487A08" w:rsidRPr="007B785C" w:rsidRDefault="00487A08" w:rsidP="00EB7DC2">
      <w:pPr>
        <w:tabs>
          <w:tab w:val="left" w:pos="0"/>
        </w:tabs>
      </w:pPr>
    </w:p>
    <w:p w:rsidR="00EB7DC2" w:rsidRDefault="00EB7DC2" w:rsidP="00EB7DC2">
      <w:pPr>
        <w:pStyle w:val="aa"/>
        <w:tabs>
          <w:tab w:val="left" w:pos="0"/>
        </w:tabs>
        <w:ind w:left="709"/>
        <w:jc w:val="both"/>
        <w:rPr>
          <w:b/>
        </w:rPr>
      </w:pPr>
    </w:p>
    <w:p w:rsidR="00487A08" w:rsidRPr="006714B5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  <w:sz w:val="26"/>
          <w:szCs w:val="26"/>
        </w:rPr>
      </w:pPr>
      <w:r w:rsidRPr="006714B5">
        <w:rPr>
          <w:b/>
          <w:sz w:val="26"/>
          <w:szCs w:val="26"/>
        </w:rPr>
        <w:t>Изменение параметров бюджета по расходам</w:t>
      </w:r>
    </w:p>
    <w:p w:rsidR="00095F40" w:rsidRPr="006714B5" w:rsidRDefault="00095F40" w:rsidP="00E100BC">
      <w:pPr>
        <w:tabs>
          <w:tab w:val="left" w:pos="0"/>
        </w:tabs>
        <w:ind w:firstLine="720"/>
        <w:jc w:val="both"/>
        <w:rPr>
          <w:b/>
          <w:sz w:val="26"/>
          <w:szCs w:val="26"/>
          <w:highlight w:val="lightGray"/>
        </w:rPr>
      </w:pPr>
    </w:p>
    <w:p w:rsidR="000A2BFB" w:rsidRPr="006714B5" w:rsidRDefault="000A2BFB" w:rsidP="000A2BFB">
      <w:pPr>
        <w:pStyle w:val="aa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14B5">
        <w:rPr>
          <w:sz w:val="26"/>
          <w:szCs w:val="26"/>
        </w:rPr>
        <w:t xml:space="preserve">Общий объем расходов </w:t>
      </w:r>
      <w:proofErr w:type="gramStart"/>
      <w:r w:rsidRPr="006714B5">
        <w:rPr>
          <w:sz w:val="26"/>
          <w:szCs w:val="26"/>
        </w:rPr>
        <w:t>бюджета</w:t>
      </w:r>
      <w:proofErr w:type="gramEnd"/>
      <w:r w:rsidRPr="006714B5">
        <w:rPr>
          <w:sz w:val="26"/>
          <w:szCs w:val="26"/>
        </w:rPr>
        <w:t xml:space="preserve"> ЗАТО г. Североморск </w:t>
      </w:r>
      <w:r w:rsidRPr="006714B5">
        <w:rPr>
          <w:b/>
          <w:sz w:val="26"/>
          <w:szCs w:val="26"/>
        </w:rPr>
        <w:t>на 201</w:t>
      </w:r>
      <w:r w:rsidR="006714B5" w:rsidRPr="006714B5">
        <w:rPr>
          <w:b/>
          <w:sz w:val="26"/>
          <w:szCs w:val="26"/>
        </w:rPr>
        <w:t>9</w:t>
      </w:r>
      <w:r w:rsidRPr="006714B5">
        <w:rPr>
          <w:b/>
          <w:sz w:val="26"/>
          <w:szCs w:val="26"/>
        </w:rPr>
        <w:t xml:space="preserve"> год</w:t>
      </w:r>
      <w:r w:rsidRPr="006714B5">
        <w:rPr>
          <w:sz w:val="26"/>
          <w:szCs w:val="26"/>
        </w:rPr>
        <w:t xml:space="preserve"> </w:t>
      </w:r>
      <w:r w:rsidR="006714B5" w:rsidRPr="006714B5">
        <w:rPr>
          <w:sz w:val="26"/>
          <w:szCs w:val="26"/>
        </w:rPr>
        <w:t xml:space="preserve">увеличен </w:t>
      </w:r>
      <w:r w:rsidRPr="006714B5">
        <w:rPr>
          <w:sz w:val="26"/>
          <w:szCs w:val="26"/>
        </w:rPr>
        <w:t xml:space="preserve"> на  сумму </w:t>
      </w:r>
      <w:r w:rsidR="006714B5" w:rsidRPr="006714B5">
        <w:rPr>
          <w:sz w:val="26"/>
          <w:szCs w:val="26"/>
        </w:rPr>
        <w:t>22 070,0</w:t>
      </w:r>
      <w:r w:rsidRPr="006714B5">
        <w:rPr>
          <w:sz w:val="26"/>
          <w:szCs w:val="26"/>
        </w:rPr>
        <w:t xml:space="preserve"> тыс. рублей и составил </w:t>
      </w:r>
      <w:r w:rsidR="006714B5" w:rsidRPr="006714B5">
        <w:rPr>
          <w:sz w:val="26"/>
          <w:szCs w:val="26"/>
        </w:rPr>
        <w:t>3 226 917,7</w:t>
      </w:r>
      <w:r w:rsidRPr="006714B5">
        <w:rPr>
          <w:sz w:val="26"/>
          <w:szCs w:val="26"/>
        </w:rPr>
        <w:t xml:space="preserve"> рублей. </w:t>
      </w:r>
    </w:p>
    <w:p w:rsidR="000A2BFB" w:rsidRPr="006714B5" w:rsidRDefault="000A2BFB" w:rsidP="000A2BFB">
      <w:pPr>
        <w:ind w:firstLine="709"/>
        <w:jc w:val="both"/>
        <w:rPr>
          <w:sz w:val="26"/>
          <w:szCs w:val="26"/>
        </w:rPr>
      </w:pPr>
      <w:r w:rsidRPr="006714B5">
        <w:rPr>
          <w:sz w:val="26"/>
          <w:szCs w:val="26"/>
        </w:rPr>
        <w:t xml:space="preserve">Внесение изменений в расходную часть </w:t>
      </w:r>
      <w:proofErr w:type="gramStart"/>
      <w:r w:rsidRPr="006714B5">
        <w:rPr>
          <w:sz w:val="26"/>
          <w:szCs w:val="26"/>
        </w:rPr>
        <w:t>бюджета</w:t>
      </w:r>
      <w:proofErr w:type="gramEnd"/>
      <w:r w:rsidRPr="006714B5">
        <w:rPr>
          <w:sz w:val="26"/>
          <w:szCs w:val="26"/>
        </w:rPr>
        <w:t xml:space="preserve"> ЗАТО г. Североморск связано с:</w:t>
      </w:r>
    </w:p>
    <w:p w:rsidR="000A2BFB" w:rsidRPr="006714B5" w:rsidRDefault="000A2BFB" w:rsidP="000A2BFB">
      <w:pPr>
        <w:ind w:right="-142" w:firstLine="709"/>
        <w:jc w:val="both"/>
        <w:rPr>
          <w:sz w:val="26"/>
          <w:szCs w:val="26"/>
        </w:rPr>
      </w:pPr>
      <w:r w:rsidRPr="006714B5">
        <w:rPr>
          <w:sz w:val="26"/>
          <w:szCs w:val="26"/>
        </w:rPr>
        <w:lastRenderedPageBreak/>
        <w:t xml:space="preserve"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Pr="006714B5">
        <w:rPr>
          <w:sz w:val="26"/>
          <w:szCs w:val="26"/>
        </w:rPr>
        <w:t>администрации</w:t>
      </w:r>
      <w:proofErr w:type="gramEnd"/>
      <w:r w:rsidRPr="006714B5">
        <w:rPr>
          <w:sz w:val="26"/>
          <w:szCs w:val="26"/>
        </w:rPr>
        <w:t xml:space="preserve"> ЗАТО г. Североморск);</w:t>
      </w:r>
    </w:p>
    <w:p w:rsidR="006714B5" w:rsidRPr="006714B5" w:rsidRDefault="006714B5" w:rsidP="006714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6714B5">
        <w:rPr>
          <w:sz w:val="26"/>
          <w:szCs w:val="26"/>
        </w:rPr>
        <w:t xml:space="preserve">- направлением неосвоенного остатка средств 2018 года муниципального дорожного </w:t>
      </w:r>
      <w:proofErr w:type="gramStart"/>
      <w:r w:rsidRPr="006714B5">
        <w:rPr>
          <w:sz w:val="26"/>
          <w:szCs w:val="26"/>
        </w:rPr>
        <w:t>фонда</w:t>
      </w:r>
      <w:proofErr w:type="gramEnd"/>
      <w:r w:rsidRPr="006714B5">
        <w:rPr>
          <w:sz w:val="26"/>
          <w:szCs w:val="26"/>
        </w:rPr>
        <w:t xml:space="preserve"> ЗАТО г. Североморск на мероприятия, предусмотренные </w:t>
      </w:r>
      <w:r w:rsidRPr="006714B5">
        <w:rPr>
          <w:rFonts w:eastAsiaTheme="minorHAnsi"/>
          <w:sz w:val="26"/>
          <w:szCs w:val="26"/>
          <w:lang w:eastAsia="en-US"/>
        </w:rPr>
        <w:t xml:space="preserve">Решением Совета депутатов ЗАТО г. Североморск от 26.11.2013 N 475 «О муниципальном дорожном фонде ЗАТО г. Североморск»; </w:t>
      </w:r>
    </w:p>
    <w:p w:rsidR="000A2BFB" w:rsidRPr="006714B5" w:rsidRDefault="000A2BFB" w:rsidP="000A2BF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14B5">
        <w:rPr>
          <w:sz w:val="26"/>
          <w:szCs w:val="26"/>
        </w:rPr>
        <w:t xml:space="preserve">- </w:t>
      </w:r>
      <w:r w:rsidR="006714B5" w:rsidRPr="006714B5">
        <w:rPr>
          <w:sz w:val="26"/>
          <w:szCs w:val="26"/>
        </w:rPr>
        <w:t>увеличением</w:t>
      </w:r>
      <w:r w:rsidRPr="006714B5">
        <w:rPr>
          <w:sz w:val="26"/>
          <w:szCs w:val="26"/>
        </w:rPr>
        <w:t xml:space="preserve"> ассигнований</w:t>
      </w:r>
      <w:r w:rsidR="006714B5" w:rsidRPr="006714B5">
        <w:rPr>
          <w:sz w:val="26"/>
          <w:szCs w:val="26"/>
        </w:rPr>
        <w:t xml:space="preserve"> ГРБС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="006714B5" w:rsidRPr="006714B5">
        <w:rPr>
          <w:sz w:val="26"/>
          <w:szCs w:val="26"/>
        </w:rPr>
        <w:t>администрации</w:t>
      </w:r>
      <w:proofErr w:type="gramEnd"/>
      <w:r w:rsidR="006714B5" w:rsidRPr="006714B5">
        <w:rPr>
          <w:sz w:val="26"/>
          <w:szCs w:val="26"/>
        </w:rPr>
        <w:t xml:space="preserve"> ЗАТО г. Североморск)</w:t>
      </w:r>
      <w:r w:rsidRPr="006714B5">
        <w:rPr>
          <w:sz w:val="26"/>
          <w:szCs w:val="26"/>
        </w:rPr>
        <w:t>.</w:t>
      </w:r>
      <w:r w:rsidR="006714B5" w:rsidRPr="006714B5">
        <w:rPr>
          <w:sz w:val="26"/>
          <w:szCs w:val="26"/>
        </w:rPr>
        <w:t xml:space="preserve"> Источник финансирования дополнительных расходов - изменение остатков средств на счетах по учету средств бюджета;</w:t>
      </w:r>
    </w:p>
    <w:p w:rsidR="006714B5" w:rsidRPr="006714B5" w:rsidRDefault="006714B5" w:rsidP="000A2BF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714B5">
        <w:rPr>
          <w:sz w:val="26"/>
          <w:szCs w:val="26"/>
        </w:rPr>
        <w:t>- уточнение кодов бюджетной классификации.</w:t>
      </w:r>
    </w:p>
    <w:p w:rsidR="000A2BFB" w:rsidRPr="006714B5" w:rsidRDefault="000A2BFB" w:rsidP="000A2BFB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0A2BFB" w:rsidRDefault="000A2BFB" w:rsidP="000A2BF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 w:rsidRPr="006714B5">
        <w:rPr>
          <w:rFonts w:eastAsiaTheme="minorHAnsi" w:cstheme="minorBidi"/>
          <w:iCs/>
          <w:sz w:val="26"/>
          <w:szCs w:val="26"/>
          <w:lang w:eastAsia="en-US"/>
        </w:rPr>
        <w:t>С учетом вышеперечисленных общих подходов, структура расходов бюджета по разделам классификации расходов бюджета на 2019 год характеризуется следующими изменениями:</w:t>
      </w:r>
    </w:p>
    <w:p w:rsidR="0080291E" w:rsidRPr="006714B5" w:rsidRDefault="0080291E" w:rsidP="0080291E">
      <w:pPr>
        <w:tabs>
          <w:tab w:val="left" w:pos="993"/>
        </w:tabs>
        <w:ind w:firstLine="709"/>
        <w:jc w:val="right"/>
        <w:rPr>
          <w:rFonts w:eastAsiaTheme="minorHAnsi" w:cstheme="minorBidi"/>
          <w:iCs/>
          <w:sz w:val="26"/>
          <w:szCs w:val="26"/>
          <w:lang w:eastAsia="en-US"/>
        </w:rPr>
      </w:pPr>
      <w:r>
        <w:rPr>
          <w:rFonts w:eastAsiaTheme="minorHAnsi" w:cstheme="minorBidi"/>
          <w:iCs/>
          <w:sz w:val="26"/>
          <w:szCs w:val="26"/>
          <w:lang w:eastAsia="en-US"/>
        </w:rPr>
        <w:t>тыс. рублей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843"/>
        <w:gridCol w:w="992"/>
        <w:gridCol w:w="1418"/>
        <w:gridCol w:w="1220"/>
        <w:gridCol w:w="1756"/>
      </w:tblGrid>
      <w:tr w:rsidR="006714B5" w:rsidRPr="006714B5" w:rsidTr="00050F27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18"/>
                <w:szCs w:val="18"/>
              </w:rPr>
            </w:pPr>
            <w:r w:rsidRPr="006714B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18"/>
                <w:szCs w:val="18"/>
              </w:rPr>
            </w:pPr>
            <w:r w:rsidRPr="006714B5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18"/>
                <w:szCs w:val="18"/>
              </w:rPr>
            </w:pPr>
            <w:r w:rsidRPr="006714B5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18"/>
                <w:szCs w:val="18"/>
              </w:rPr>
            </w:pPr>
            <w:r w:rsidRPr="006714B5">
              <w:rPr>
                <w:b/>
                <w:bCs/>
                <w:sz w:val="18"/>
                <w:szCs w:val="18"/>
              </w:rPr>
              <w:t>Изменения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18"/>
                <w:szCs w:val="18"/>
              </w:rPr>
            </w:pPr>
            <w:r w:rsidRPr="006714B5">
              <w:rPr>
                <w:b/>
                <w:bCs/>
                <w:sz w:val="18"/>
                <w:szCs w:val="18"/>
              </w:rPr>
              <w:t>К утверждению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192 647,2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305,3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192 952,5</w:t>
            </w:r>
          </w:p>
        </w:tc>
      </w:tr>
      <w:tr w:rsidR="006714B5" w:rsidRPr="006714B5" w:rsidTr="00050F27">
        <w:trPr>
          <w:trHeight w:val="1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15 290,9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15 290,9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218 105,5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22 070,0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240 175,6</w:t>
            </w:r>
          </w:p>
        </w:tc>
      </w:tr>
      <w:tr w:rsidR="006714B5" w:rsidRPr="006714B5" w:rsidTr="00050F27">
        <w:trPr>
          <w:trHeight w:val="2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185 775,2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185 775,2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500,0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2 244 385,4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2 244 385,4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229 097,8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229 097,8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84 421,0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84 421,0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1 663,7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1 663,7</w:t>
            </w:r>
          </w:p>
        </w:tc>
      </w:tr>
      <w:tr w:rsidR="006714B5" w:rsidRPr="006714B5" w:rsidTr="00050F27">
        <w:trPr>
          <w:trHeight w:val="2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15 440,9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15 440,9</w:t>
            </w:r>
          </w:p>
        </w:tc>
      </w:tr>
      <w:tr w:rsidR="006714B5" w:rsidRPr="006714B5" w:rsidTr="00050F27">
        <w:trPr>
          <w:trHeight w:val="2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sz w:val="20"/>
                <w:szCs w:val="20"/>
              </w:rPr>
            </w:pPr>
            <w:r w:rsidRPr="006714B5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17 520,0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-               305,3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color w:val="000000"/>
                <w:sz w:val="20"/>
                <w:szCs w:val="20"/>
              </w:rPr>
            </w:pPr>
            <w:r w:rsidRPr="006714B5">
              <w:rPr>
                <w:color w:val="000000"/>
                <w:sz w:val="20"/>
                <w:szCs w:val="20"/>
              </w:rPr>
              <w:t>17 214,7</w:t>
            </w:r>
          </w:p>
        </w:tc>
      </w:tr>
      <w:tr w:rsidR="006714B5" w:rsidRPr="006714B5" w:rsidTr="00050F27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rPr>
                <w:b/>
                <w:bCs/>
                <w:sz w:val="20"/>
                <w:szCs w:val="20"/>
              </w:rPr>
            </w:pPr>
            <w:r w:rsidRPr="006714B5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4B5" w:rsidRPr="006714B5" w:rsidRDefault="006714B5" w:rsidP="006714B5">
            <w:pPr>
              <w:jc w:val="center"/>
              <w:rPr>
                <w:b/>
                <w:bCs/>
                <w:sz w:val="20"/>
                <w:szCs w:val="20"/>
              </w:rPr>
            </w:pPr>
            <w:r w:rsidRPr="006714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14B5">
              <w:rPr>
                <w:b/>
                <w:color w:val="000000"/>
                <w:sz w:val="20"/>
                <w:szCs w:val="20"/>
              </w:rPr>
              <w:t>3 204 847,6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14B5">
              <w:rPr>
                <w:b/>
                <w:color w:val="000000"/>
                <w:sz w:val="20"/>
                <w:szCs w:val="20"/>
              </w:rPr>
              <w:t>22 070,0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4B5" w:rsidRPr="006714B5" w:rsidRDefault="006714B5" w:rsidP="008606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714B5">
              <w:rPr>
                <w:b/>
                <w:color w:val="000000"/>
                <w:sz w:val="20"/>
                <w:szCs w:val="20"/>
              </w:rPr>
              <w:t>3 226 917,7</w:t>
            </w:r>
          </w:p>
        </w:tc>
      </w:tr>
    </w:tbl>
    <w:p w:rsidR="000A2BFB" w:rsidRPr="000A2BFB" w:rsidRDefault="000A2BFB" w:rsidP="00E100BC">
      <w:pPr>
        <w:tabs>
          <w:tab w:val="left" w:pos="0"/>
        </w:tabs>
        <w:ind w:firstLine="720"/>
        <w:jc w:val="both"/>
        <w:rPr>
          <w:color w:val="FF0000"/>
        </w:rPr>
      </w:pPr>
    </w:p>
    <w:p w:rsidR="000A2BFB" w:rsidRPr="0080291E" w:rsidRDefault="000A2BFB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0291E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>
        <w:rPr>
          <w:rFonts w:eastAsia="Calibri"/>
          <w:sz w:val="26"/>
          <w:szCs w:val="26"/>
          <w:lang w:eastAsia="en-US"/>
        </w:rPr>
        <w:t xml:space="preserve"> 2019 года</w:t>
      </w:r>
      <w:r w:rsidRPr="0080291E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таблице:</w:t>
      </w:r>
    </w:p>
    <w:p w:rsidR="000A2BFB" w:rsidRPr="0080291E" w:rsidRDefault="0080291E" w:rsidP="0080291E">
      <w:pPr>
        <w:tabs>
          <w:tab w:val="left" w:pos="0"/>
        </w:tabs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W w:w="9148" w:type="dxa"/>
        <w:tblInd w:w="93" w:type="dxa"/>
        <w:tblLook w:val="04A0" w:firstRow="1" w:lastRow="0" w:firstColumn="1" w:lastColumn="0" w:noHBand="0" w:noVBand="1"/>
      </w:tblPr>
      <w:tblGrid>
        <w:gridCol w:w="3843"/>
        <w:gridCol w:w="1076"/>
        <w:gridCol w:w="1320"/>
        <w:gridCol w:w="1289"/>
        <w:gridCol w:w="1620"/>
      </w:tblGrid>
      <w:tr w:rsidR="00050F27" w:rsidRPr="00050F27" w:rsidTr="00050F27">
        <w:trPr>
          <w:trHeight w:val="30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50F27">
              <w:rPr>
                <w:b/>
                <w:bCs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50F27">
              <w:rPr>
                <w:b/>
                <w:bCs/>
                <w:color w:val="000000"/>
                <w:sz w:val="18"/>
                <w:szCs w:val="18"/>
              </w:rPr>
              <w:t xml:space="preserve"> Ведомство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sz w:val="18"/>
                <w:szCs w:val="18"/>
              </w:rPr>
            </w:pPr>
            <w:r w:rsidRPr="00050F27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sz w:val="18"/>
                <w:szCs w:val="18"/>
              </w:rPr>
            </w:pPr>
            <w:r w:rsidRPr="00050F27">
              <w:rPr>
                <w:b/>
                <w:bCs/>
                <w:sz w:val="18"/>
                <w:szCs w:val="18"/>
              </w:rPr>
              <w:t>Изменения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sz w:val="18"/>
                <w:szCs w:val="18"/>
              </w:rPr>
            </w:pPr>
            <w:r w:rsidRPr="00050F27">
              <w:rPr>
                <w:b/>
                <w:bCs/>
                <w:sz w:val="18"/>
                <w:szCs w:val="18"/>
              </w:rPr>
              <w:t>К утверждению</w:t>
            </w:r>
          </w:p>
        </w:tc>
      </w:tr>
      <w:tr w:rsidR="00050F27" w:rsidRPr="00050F27" w:rsidTr="00050F27">
        <w:trPr>
          <w:trHeight w:val="23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27" w:rsidRPr="00050F27" w:rsidRDefault="00050F27" w:rsidP="00050F2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27" w:rsidRPr="00050F27" w:rsidRDefault="00050F27" w:rsidP="00050F2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27" w:rsidRPr="00050F27" w:rsidRDefault="00050F27" w:rsidP="00050F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27" w:rsidRPr="00050F27" w:rsidRDefault="00050F27" w:rsidP="00050F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F27" w:rsidRPr="00050F27" w:rsidRDefault="00050F27" w:rsidP="00050F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50F27" w:rsidRPr="00050F27" w:rsidTr="00050F27">
        <w:trPr>
          <w:trHeight w:val="1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Администрация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701 352,1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701 352,1</w:t>
            </w:r>
          </w:p>
        </w:tc>
      </w:tr>
      <w:tr w:rsidR="00050F27" w:rsidRPr="00050F27" w:rsidTr="00050F27">
        <w:trPr>
          <w:trHeight w:val="3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Управление финансов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50 692,2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50 692,2</w:t>
            </w:r>
          </w:p>
        </w:tc>
      </w:tr>
      <w:tr w:rsidR="00050F27" w:rsidRPr="00050F27" w:rsidTr="00050F27">
        <w:trPr>
          <w:trHeight w:val="4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Управление образования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1 691 314,1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1 691 314,1</w:t>
            </w:r>
          </w:p>
        </w:tc>
      </w:tr>
      <w:tr w:rsidR="00050F27" w:rsidRPr="00050F27" w:rsidTr="007750C5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Управление культуры и международных связей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337 343,1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337 343,1</w:t>
            </w:r>
          </w:p>
        </w:tc>
      </w:tr>
      <w:tr w:rsidR="00050F27" w:rsidRPr="00050F27" w:rsidTr="007750C5">
        <w:trPr>
          <w:trHeight w:val="55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Комитет по развитию городского хозяйства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323 704,4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19 182,6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342 887,0</w:t>
            </w:r>
          </w:p>
        </w:tc>
      </w:tr>
      <w:tr w:rsidR="00050F27" w:rsidRPr="00050F27" w:rsidTr="007750C5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Совет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депутатов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9 939,9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9 939,9</w:t>
            </w:r>
          </w:p>
        </w:tc>
      </w:tr>
      <w:tr w:rsidR="00050F27" w:rsidRPr="00050F27" w:rsidTr="007750C5">
        <w:trPr>
          <w:trHeight w:val="2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lastRenderedPageBreak/>
              <w:t xml:space="preserve">    КОНТРОЛЬНО-СЧЕТНАЯ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ПАЛАТА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734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2 780,9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2 780,9</w:t>
            </w:r>
          </w:p>
        </w:tc>
      </w:tr>
      <w:tr w:rsidR="00050F27" w:rsidRPr="00050F27" w:rsidTr="007750C5">
        <w:trPr>
          <w:trHeight w:val="38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 xml:space="preserve">    Комитет имущественных отношений </w:t>
            </w:r>
            <w:proofErr w:type="gramStart"/>
            <w:r w:rsidRPr="00050F27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50F27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87 721,0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2 887,5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90 608,5</w:t>
            </w:r>
          </w:p>
        </w:tc>
      </w:tr>
      <w:tr w:rsidR="00050F27" w:rsidRPr="00050F27" w:rsidTr="00050F27">
        <w:trPr>
          <w:trHeight w:val="300"/>
        </w:trPr>
        <w:tc>
          <w:tcPr>
            <w:tcW w:w="4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0F27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3 204 847,6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22 070,0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F27" w:rsidRPr="00050F27" w:rsidRDefault="00050F27" w:rsidP="00050F27">
            <w:pPr>
              <w:jc w:val="center"/>
              <w:rPr>
                <w:color w:val="000000"/>
                <w:sz w:val="20"/>
                <w:szCs w:val="20"/>
              </w:rPr>
            </w:pPr>
            <w:r w:rsidRPr="00050F27">
              <w:rPr>
                <w:color w:val="000000"/>
                <w:sz w:val="20"/>
                <w:szCs w:val="20"/>
              </w:rPr>
              <w:t>3 226 917,7</w:t>
            </w:r>
          </w:p>
        </w:tc>
      </w:tr>
    </w:tbl>
    <w:p w:rsidR="000A2BFB" w:rsidRDefault="000A2BFB" w:rsidP="00E100BC">
      <w:pPr>
        <w:tabs>
          <w:tab w:val="left" w:pos="0"/>
        </w:tabs>
        <w:ind w:firstLine="720"/>
        <w:jc w:val="both"/>
        <w:rPr>
          <w:color w:val="FF0000"/>
        </w:rPr>
      </w:pPr>
    </w:p>
    <w:p w:rsidR="000A2BFB" w:rsidRPr="00F77378" w:rsidRDefault="000A2BFB" w:rsidP="00B0429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77378">
        <w:rPr>
          <w:b/>
          <w:sz w:val="26"/>
          <w:szCs w:val="26"/>
          <w:u w:val="single"/>
        </w:rPr>
        <w:t xml:space="preserve">ГРБС – </w:t>
      </w:r>
      <w:proofErr w:type="gramStart"/>
      <w:r w:rsidRPr="00F77378">
        <w:rPr>
          <w:b/>
          <w:sz w:val="26"/>
          <w:szCs w:val="26"/>
          <w:u w:val="single"/>
        </w:rPr>
        <w:t>Администрация</w:t>
      </w:r>
      <w:proofErr w:type="gramEnd"/>
      <w:r w:rsidRPr="00F77378">
        <w:rPr>
          <w:b/>
          <w:sz w:val="26"/>
          <w:szCs w:val="26"/>
          <w:u w:val="single"/>
        </w:rPr>
        <w:t xml:space="preserve"> ЗАТО г. Североморск:</w:t>
      </w:r>
      <w:r w:rsidRPr="00F77378">
        <w:rPr>
          <w:sz w:val="26"/>
          <w:szCs w:val="26"/>
        </w:rPr>
        <w:t xml:space="preserve"> общий объем ассигнований</w:t>
      </w:r>
      <w:r w:rsidR="007750C5" w:rsidRPr="00F77378">
        <w:rPr>
          <w:sz w:val="26"/>
          <w:szCs w:val="26"/>
        </w:rPr>
        <w:t xml:space="preserve"> на 2019 год не изменен</w:t>
      </w:r>
      <w:r w:rsidR="00B04298" w:rsidRPr="00F77378">
        <w:rPr>
          <w:sz w:val="26"/>
          <w:szCs w:val="26"/>
        </w:rPr>
        <w:t>. При этом</w:t>
      </w:r>
      <w:proofErr w:type="gramStart"/>
      <w:r w:rsidR="00B04298" w:rsidRPr="00F77378">
        <w:rPr>
          <w:sz w:val="26"/>
          <w:szCs w:val="26"/>
        </w:rPr>
        <w:t>,</w:t>
      </w:r>
      <w:proofErr w:type="gramEnd"/>
      <w:r w:rsidR="00B04298" w:rsidRPr="00F77378">
        <w:rPr>
          <w:sz w:val="26"/>
          <w:szCs w:val="26"/>
        </w:rPr>
        <w:t xml:space="preserve"> п</w:t>
      </w:r>
      <w:r w:rsidRPr="00F77378">
        <w:rPr>
          <w:sz w:val="26"/>
          <w:szCs w:val="26"/>
        </w:rPr>
        <w:t>роизведен</w:t>
      </w:r>
      <w:r w:rsidR="00B04298" w:rsidRPr="00F77378">
        <w:rPr>
          <w:sz w:val="26"/>
          <w:szCs w:val="26"/>
        </w:rPr>
        <w:t>о</w:t>
      </w:r>
      <w:r w:rsidRPr="00F77378">
        <w:rPr>
          <w:sz w:val="26"/>
          <w:szCs w:val="26"/>
        </w:rPr>
        <w:t xml:space="preserve"> </w:t>
      </w:r>
      <w:r w:rsidR="00B04298" w:rsidRPr="00F77378">
        <w:rPr>
          <w:sz w:val="26"/>
          <w:szCs w:val="26"/>
        </w:rPr>
        <w:t>перераспределение расходов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раздела 0300 «Национальная безопасность и правоохранительная деятельность» между видами расходов классификации</w:t>
      </w:r>
      <w:r w:rsidR="0092674F" w:rsidRPr="00F77378">
        <w:rPr>
          <w:sz w:val="26"/>
          <w:szCs w:val="26"/>
        </w:rPr>
        <w:t xml:space="preserve"> расходов</w:t>
      </w:r>
      <w:r w:rsidR="00B04298" w:rsidRPr="00F77378">
        <w:rPr>
          <w:sz w:val="26"/>
          <w:szCs w:val="26"/>
        </w:rPr>
        <w:t xml:space="preserve"> бюджетов</w:t>
      </w:r>
      <w:r w:rsidR="0092674F" w:rsidRPr="00F77378">
        <w:rPr>
          <w:sz w:val="26"/>
          <w:szCs w:val="26"/>
        </w:rPr>
        <w:t xml:space="preserve"> в сумме 54,1 тыс. рублей с целью проведения расчетов с поставщиками. </w:t>
      </w:r>
      <w:r w:rsidR="00B04298" w:rsidRPr="00F77378">
        <w:rPr>
          <w:sz w:val="26"/>
          <w:szCs w:val="26"/>
        </w:rPr>
        <w:t xml:space="preserve"> </w:t>
      </w:r>
    </w:p>
    <w:p w:rsidR="000A2BFB" w:rsidRPr="00F77378" w:rsidRDefault="000A2BFB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0A2BFB" w:rsidRPr="00F77378" w:rsidRDefault="0092674F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F77378">
        <w:rPr>
          <w:b/>
          <w:sz w:val="26"/>
          <w:szCs w:val="26"/>
          <w:u w:val="single"/>
        </w:rPr>
        <w:t xml:space="preserve">ГРБС – Управление финансов </w:t>
      </w:r>
      <w:proofErr w:type="gramStart"/>
      <w:r w:rsidRPr="00F77378">
        <w:rPr>
          <w:b/>
          <w:sz w:val="26"/>
          <w:szCs w:val="26"/>
          <w:u w:val="single"/>
        </w:rPr>
        <w:t>администрации</w:t>
      </w:r>
      <w:proofErr w:type="gramEnd"/>
      <w:r w:rsidRPr="00F77378">
        <w:rPr>
          <w:b/>
          <w:sz w:val="26"/>
          <w:szCs w:val="26"/>
          <w:u w:val="single"/>
        </w:rPr>
        <w:t xml:space="preserve"> ЗАТО г. Североморск:</w:t>
      </w:r>
      <w:r w:rsidRPr="00F77378">
        <w:rPr>
          <w:sz w:val="26"/>
          <w:szCs w:val="26"/>
        </w:rPr>
        <w:t xml:space="preserve"> общий объем ассигнований на 2019 год не изменен. Произведено перераспределение ассигнований между разделами бюджета 0100 «Общегосударственные вопросы» и 1300 «Обслуживание государственного и муниципального долга» в сумме 305,3 тыс. рублей на организацию бюджетного процесса, </w:t>
      </w:r>
      <w:r w:rsidR="005A6981" w:rsidRPr="00F77378">
        <w:rPr>
          <w:sz w:val="26"/>
          <w:szCs w:val="26"/>
        </w:rPr>
        <w:t xml:space="preserve">обеспечение его открытости </w:t>
      </w:r>
      <w:r w:rsidRPr="00F77378">
        <w:rPr>
          <w:sz w:val="26"/>
          <w:szCs w:val="26"/>
        </w:rPr>
        <w:t>за счет экономии по процентным платежам</w:t>
      </w:r>
      <w:r w:rsidR="005A6981" w:rsidRPr="00F77378">
        <w:rPr>
          <w:sz w:val="26"/>
          <w:szCs w:val="26"/>
        </w:rPr>
        <w:t xml:space="preserve"> за пользование заемными средствами.</w:t>
      </w:r>
    </w:p>
    <w:p w:rsidR="005A6981" w:rsidRPr="00F77378" w:rsidRDefault="005A6981" w:rsidP="000A2BFB">
      <w:pPr>
        <w:tabs>
          <w:tab w:val="left" w:pos="0"/>
        </w:tabs>
        <w:ind w:firstLine="720"/>
        <w:jc w:val="both"/>
        <w:rPr>
          <w:b/>
          <w:sz w:val="26"/>
          <w:szCs w:val="26"/>
          <w:u w:val="single"/>
        </w:rPr>
      </w:pPr>
    </w:p>
    <w:p w:rsidR="005A6981" w:rsidRPr="00F77378" w:rsidRDefault="005A6981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F77378">
        <w:rPr>
          <w:b/>
          <w:sz w:val="26"/>
          <w:szCs w:val="26"/>
          <w:u w:val="single"/>
        </w:rPr>
        <w:t xml:space="preserve">ГРБС – Управление </w:t>
      </w:r>
      <w:r w:rsidR="00E5186D">
        <w:rPr>
          <w:b/>
          <w:sz w:val="26"/>
          <w:szCs w:val="26"/>
          <w:u w:val="single"/>
        </w:rPr>
        <w:t>образования</w:t>
      </w:r>
      <w:r w:rsidRPr="00F77378">
        <w:rPr>
          <w:b/>
          <w:sz w:val="26"/>
          <w:szCs w:val="26"/>
          <w:u w:val="single"/>
        </w:rPr>
        <w:t xml:space="preserve"> </w:t>
      </w:r>
      <w:proofErr w:type="gramStart"/>
      <w:r w:rsidRPr="00F77378">
        <w:rPr>
          <w:b/>
          <w:sz w:val="26"/>
          <w:szCs w:val="26"/>
          <w:u w:val="single"/>
        </w:rPr>
        <w:t>администрации</w:t>
      </w:r>
      <w:proofErr w:type="gramEnd"/>
      <w:r w:rsidRPr="00F77378">
        <w:rPr>
          <w:b/>
          <w:sz w:val="26"/>
          <w:szCs w:val="26"/>
          <w:u w:val="single"/>
        </w:rPr>
        <w:t xml:space="preserve"> ЗАТО г. Североморск:</w:t>
      </w:r>
      <w:r w:rsidRPr="00F77378">
        <w:rPr>
          <w:sz w:val="26"/>
          <w:szCs w:val="26"/>
        </w:rPr>
        <w:t xml:space="preserve"> общий объем ассигнований на 2019 увеличен на 1 рубль</w:t>
      </w:r>
      <w:r w:rsidR="00314597" w:rsidRPr="00F77378">
        <w:rPr>
          <w:sz w:val="26"/>
          <w:szCs w:val="26"/>
        </w:rPr>
        <w:t xml:space="preserve"> по разделу 0700 «Образование» с целью обеспечения уровня </w:t>
      </w:r>
      <w:proofErr w:type="spellStart"/>
      <w:r w:rsidR="00314597" w:rsidRPr="00F77378">
        <w:rPr>
          <w:sz w:val="26"/>
          <w:szCs w:val="26"/>
        </w:rPr>
        <w:t>софинансирования</w:t>
      </w:r>
      <w:proofErr w:type="spellEnd"/>
      <w:r w:rsidR="00314597" w:rsidRPr="00F77378">
        <w:rPr>
          <w:sz w:val="26"/>
          <w:szCs w:val="26"/>
        </w:rPr>
        <w:t xml:space="preserve"> к субсидии из областного бюджета на реализацию мероприятий в рамках государственной программы Российской Федерации "Доступная среда" на 2011 - 2020 годы.</w:t>
      </w:r>
    </w:p>
    <w:p w:rsidR="00314597" w:rsidRPr="00F77378" w:rsidRDefault="00314597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2674F" w:rsidRPr="00F77378" w:rsidRDefault="00314597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F77378">
        <w:rPr>
          <w:b/>
          <w:sz w:val="26"/>
          <w:szCs w:val="26"/>
          <w:u w:val="single"/>
        </w:rPr>
        <w:t xml:space="preserve">ГРБС – Комитет по развитию городского хозяйства </w:t>
      </w:r>
      <w:proofErr w:type="gramStart"/>
      <w:r w:rsidRPr="00F77378">
        <w:rPr>
          <w:b/>
          <w:sz w:val="26"/>
          <w:szCs w:val="26"/>
          <w:u w:val="single"/>
        </w:rPr>
        <w:t>администрации</w:t>
      </w:r>
      <w:proofErr w:type="gramEnd"/>
      <w:r w:rsidRPr="00F77378">
        <w:rPr>
          <w:b/>
          <w:sz w:val="26"/>
          <w:szCs w:val="26"/>
          <w:u w:val="single"/>
        </w:rPr>
        <w:t xml:space="preserve"> ЗАТО г. Североморск:</w:t>
      </w:r>
      <w:r w:rsidRPr="00F77378">
        <w:rPr>
          <w:sz w:val="26"/>
          <w:szCs w:val="26"/>
        </w:rPr>
        <w:t xml:space="preserve"> общий объем ассигнований на 2019 увеличен на 19 182,6 тыс. рублей, в том числе по разделам бюджета:</w:t>
      </w:r>
    </w:p>
    <w:p w:rsidR="00314597" w:rsidRPr="00F77378" w:rsidRDefault="00314597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proofErr w:type="gramStart"/>
      <w:r w:rsidRPr="00F77378">
        <w:rPr>
          <w:sz w:val="26"/>
          <w:szCs w:val="26"/>
        </w:rPr>
        <w:t xml:space="preserve">0400 «Национальная экономика» - Бюджетные ассигнования по </w:t>
      </w:r>
      <w:r w:rsidR="00E32B83" w:rsidRPr="00F77378">
        <w:rPr>
          <w:sz w:val="26"/>
          <w:szCs w:val="26"/>
        </w:rPr>
        <w:t>под</w:t>
      </w:r>
      <w:r w:rsidRPr="00F77378">
        <w:rPr>
          <w:sz w:val="26"/>
          <w:szCs w:val="26"/>
        </w:rPr>
        <w:t>разделу</w:t>
      </w:r>
      <w:r w:rsidR="00E32B83" w:rsidRPr="00F77378">
        <w:rPr>
          <w:sz w:val="26"/>
          <w:szCs w:val="26"/>
        </w:rPr>
        <w:t xml:space="preserve"> 0409 «Дорожное хозяйство (дорожные фонды)»</w:t>
      </w:r>
      <w:r w:rsidRPr="00F77378">
        <w:rPr>
          <w:sz w:val="26"/>
          <w:szCs w:val="26"/>
        </w:rPr>
        <w:t xml:space="preserve"> увеличены на 19 182,6 тыс. рублей для реализации мероприятий по ремонту автомобильных дорог общего пользования местного значения, включая ремонт элементов их обустройства и защитных и искусственных дорожных сооружений и капитальному ремонту и реконструкции автомобильных дорог общего пользования местного значения, включая капитальный ремонт и реконструкцию  ремонт элементов их обустройства</w:t>
      </w:r>
      <w:proofErr w:type="gramEnd"/>
      <w:r w:rsidRPr="00F77378">
        <w:rPr>
          <w:sz w:val="26"/>
          <w:szCs w:val="26"/>
        </w:rPr>
        <w:t xml:space="preserve"> и защитных и искусственных дорожных сооружений;</w:t>
      </w:r>
    </w:p>
    <w:p w:rsidR="00314597" w:rsidRPr="00F77378" w:rsidRDefault="00314597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F77378">
        <w:rPr>
          <w:sz w:val="26"/>
          <w:szCs w:val="26"/>
        </w:rPr>
        <w:t xml:space="preserve">0500 «Жилищно – коммунальное хозяйство». </w:t>
      </w:r>
      <w:r w:rsidR="00E32B83" w:rsidRPr="00F77378">
        <w:rPr>
          <w:sz w:val="26"/>
          <w:szCs w:val="26"/>
        </w:rPr>
        <w:t>Общий объем расходов раздела не изменился. При этом</w:t>
      </w:r>
      <w:proofErr w:type="gramStart"/>
      <w:r w:rsidR="00E32B83" w:rsidRPr="00F77378">
        <w:rPr>
          <w:sz w:val="26"/>
          <w:szCs w:val="26"/>
        </w:rPr>
        <w:t>,</w:t>
      </w:r>
      <w:proofErr w:type="gramEnd"/>
      <w:r w:rsidR="00E32B83" w:rsidRPr="00F77378">
        <w:rPr>
          <w:sz w:val="26"/>
          <w:szCs w:val="26"/>
        </w:rPr>
        <w:t xml:space="preserve"> перераспределены ассигнования между подпрограммами  «Подготовка объектов и систем жизнеобеспечения ЗАТО г. Североморск к работе в отопительный период» и «Осуществление прочих мероприятий по благоустройству в ЗАТО г. Североморск» с мероприятия «Восстановление работоспособности объектов коммунальной инфраструктуры» на мероприятие «Выплаты по решениям судов и оплата государственной пошлины, расходы по совершению исполнительных действий» в сумме 124,8 тыс. </w:t>
      </w:r>
      <w:r w:rsidR="00E32B83" w:rsidRPr="00F77378">
        <w:rPr>
          <w:sz w:val="26"/>
          <w:szCs w:val="26"/>
        </w:rPr>
        <w:lastRenderedPageBreak/>
        <w:t>рублей</w:t>
      </w:r>
      <w:r w:rsidR="00E1628D" w:rsidRPr="00F77378">
        <w:rPr>
          <w:sz w:val="26"/>
          <w:szCs w:val="26"/>
        </w:rPr>
        <w:t xml:space="preserve">. </w:t>
      </w:r>
      <w:r w:rsidR="00B1555D">
        <w:rPr>
          <w:sz w:val="26"/>
          <w:szCs w:val="26"/>
        </w:rPr>
        <w:t>Также</w:t>
      </w:r>
      <w:r w:rsidR="00E1628D" w:rsidRPr="00F77378">
        <w:rPr>
          <w:sz w:val="26"/>
          <w:szCs w:val="26"/>
        </w:rPr>
        <w:t xml:space="preserve">, в связи с образовавшейся экономией по мероприятию «Содержание объектов озеленения» по результатам проведения конкурентных процедур, перераспределены средства в рамках подпрограммы «Городские парки и скверы - центры отдыха североморцев» на обеспечение </w:t>
      </w:r>
      <w:r w:rsidR="00E32B83" w:rsidRPr="00F77378">
        <w:rPr>
          <w:sz w:val="26"/>
          <w:szCs w:val="26"/>
        </w:rPr>
        <w:t xml:space="preserve"> </w:t>
      </w:r>
      <w:proofErr w:type="spellStart"/>
      <w:r w:rsidR="00E1628D" w:rsidRPr="00F77378">
        <w:rPr>
          <w:sz w:val="26"/>
          <w:szCs w:val="26"/>
        </w:rPr>
        <w:t>софинансирования</w:t>
      </w:r>
      <w:proofErr w:type="spellEnd"/>
      <w:r w:rsidR="00E1628D" w:rsidRPr="00F77378">
        <w:rPr>
          <w:sz w:val="26"/>
          <w:szCs w:val="26"/>
        </w:rPr>
        <w:t xml:space="preserve"> реализации проектов по поддержке местных инициатив в сумме 322,8 тыс. рублей.</w:t>
      </w:r>
    </w:p>
    <w:p w:rsidR="00F77378" w:rsidRPr="00F77378" w:rsidRDefault="00F77378" w:rsidP="00F77378">
      <w:pPr>
        <w:tabs>
          <w:tab w:val="left" w:pos="0"/>
        </w:tabs>
        <w:ind w:firstLine="720"/>
        <w:jc w:val="both"/>
        <w:rPr>
          <w:b/>
          <w:sz w:val="26"/>
          <w:szCs w:val="26"/>
          <w:u w:val="single"/>
        </w:rPr>
      </w:pPr>
    </w:p>
    <w:p w:rsidR="00F77378" w:rsidRPr="00F77378" w:rsidRDefault="00F77378" w:rsidP="00F77378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F77378">
        <w:rPr>
          <w:b/>
          <w:sz w:val="26"/>
          <w:szCs w:val="26"/>
          <w:u w:val="single"/>
        </w:rPr>
        <w:t xml:space="preserve">ГРБС – Комитет имущественных отношений </w:t>
      </w:r>
      <w:proofErr w:type="gramStart"/>
      <w:r w:rsidRPr="00F77378">
        <w:rPr>
          <w:b/>
          <w:sz w:val="26"/>
          <w:szCs w:val="26"/>
          <w:u w:val="single"/>
        </w:rPr>
        <w:t>администрации</w:t>
      </w:r>
      <w:proofErr w:type="gramEnd"/>
      <w:r w:rsidRPr="00F77378">
        <w:rPr>
          <w:b/>
          <w:sz w:val="26"/>
          <w:szCs w:val="26"/>
          <w:u w:val="single"/>
        </w:rPr>
        <w:t xml:space="preserve"> ЗАТО г. Североморск:</w:t>
      </w:r>
      <w:r w:rsidRPr="00F77378">
        <w:rPr>
          <w:sz w:val="26"/>
          <w:szCs w:val="26"/>
        </w:rPr>
        <w:t xml:space="preserve"> общий объем ассигнований на 2019 увеличен на 2 887,5 тыс. рублей по разделу 0400 «Национальная экономика». Средства направлены на реализацию подпрограммы «Создание условий для эффективного использования муниципального  </w:t>
      </w:r>
      <w:proofErr w:type="gramStart"/>
      <w:r w:rsidRPr="00F77378">
        <w:rPr>
          <w:sz w:val="26"/>
          <w:szCs w:val="26"/>
        </w:rPr>
        <w:t>имущества</w:t>
      </w:r>
      <w:proofErr w:type="gramEnd"/>
      <w:r w:rsidRPr="00F77378">
        <w:rPr>
          <w:sz w:val="26"/>
          <w:szCs w:val="26"/>
        </w:rPr>
        <w:t xml:space="preserve"> ЗАТО г. Североморск», в том числе: «Мероприятия по землеустройству и землепользованию» - 2 286,2 тыс. рублей и «Обеспечение содержания, обслуживания и эксплуатации объектов муниципального </w:t>
      </w:r>
      <w:proofErr w:type="gramStart"/>
      <w:r w:rsidRPr="00F77378">
        <w:rPr>
          <w:sz w:val="26"/>
          <w:szCs w:val="26"/>
        </w:rPr>
        <w:t>имущества</w:t>
      </w:r>
      <w:proofErr w:type="gramEnd"/>
      <w:r w:rsidRPr="00F77378">
        <w:rPr>
          <w:sz w:val="26"/>
          <w:szCs w:val="26"/>
        </w:rPr>
        <w:t xml:space="preserve"> ЗАТО г. Североморск» - 601,3 тыс. рублей.</w:t>
      </w:r>
    </w:p>
    <w:p w:rsidR="000A2BFB" w:rsidRPr="00314597" w:rsidRDefault="000A2BFB" w:rsidP="000A2BFB">
      <w:pPr>
        <w:tabs>
          <w:tab w:val="left" w:pos="0"/>
        </w:tabs>
        <w:ind w:firstLine="709"/>
        <w:jc w:val="both"/>
        <w:rPr>
          <w:color w:val="FF0000"/>
          <w:sz w:val="26"/>
          <w:szCs w:val="26"/>
          <w:highlight w:val="lightGray"/>
        </w:rPr>
      </w:pPr>
    </w:p>
    <w:p w:rsidR="000A2BFB" w:rsidRDefault="000A2BFB" w:rsidP="000A2BFB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14597">
        <w:rPr>
          <w:sz w:val="26"/>
          <w:szCs w:val="26"/>
        </w:rPr>
        <w:t xml:space="preserve">В результате внесенных изменений, объемы финансирования муниципальных программ </w:t>
      </w:r>
      <w:r w:rsidR="00F77378">
        <w:rPr>
          <w:sz w:val="26"/>
          <w:szCs w:val="26"/>
        </w:rPr>
        <w:t xml:space="preserve">на 2019 год </w:t>
      </w:r>
      <w:r w:rsidRPr="00314597">
        <w:rPr>
          <w:sz w:val="26"/>
          <w:szCs w:val="26"/>
        </w:rPr>
        <w:t>сложились следующим образом:</w:t>
      </w:r>
    </w:p>
    <w:p w:rsidR="00F77378" w:rsidRDefault="00F77378" w:rsidP="00F77378">
      <w:pPr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977"/>
        <w:gridCol w:w="1417"/>
        <w:gridCol w:w="1276"/>
        <w:gridCol w:w="1559"/>
      </w:tblGrid>
      <w:tr w:rsidR="00CD3037" w:rsidRPr="00CD3037" w:rsidTr="00CD3037">
        <w:trPr>
          <w:trHeight w:val="315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303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3037">
              <w:rPr>
                <w:b/>
                <w:bCs/>
                <w:sz w:val="18"/>
                <w:szCs w:val="18"/>
              </w:rPr>
              <w:t xml:space="preserve"> Утверждено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3037">
              <w:rPr>
                <w:b/>
                <w:bCs/>
                <w:sz w:val="18"/>
                <w:szCs w:val="18"/>
              </w:rPr>
              <w:t xml:space="preserve"> Изменения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18"/>
                <w:szCs w:val="18"/>
              </w:rPr>
            </w:pPr>
            <w:r w:rsidRPr="00CD3037">
              <w:rPr>
                <w:b/>
                <w:bCs/>
                <w:sz w:val="18"/>
                <w:szCs w:val="18"/>
              </w:rPr>
              <w:t xml:space="preserve">К утверждению </w:t>
            </w:r>
          </w:p>
        </w:tc>
      </w:tr>
      <w:tr w:rsidR="00CD3037" w:rsidRPr="00CD3037" w:rsidTr="00CD3037">
        <w:trPr>
          <w:trHeight w:val="361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34 326,9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34 326,9</w:t>
            </w:r>
          </w:p>
        </w:tc>
      </w:tr>
      <w:tr w:rsidR="00CD3037" w:rsidRPr="00CD3037" w:rsidTr="00CD3037">
        <w:trPr>
          <w:trHeight w:val="73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2. "Развитие конкурентоспособной </w:t>
            </w:r>
            <w:proofErr w:type="gramStart"/>
            <w:r w:rsidRPr="00CD3037">
              <w:rPr>
                <w:sz w:val="20"/>
                <w:szCs w:val="20"/>
              </w:rPr>
              <w:t>экономики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1 299,8</w:t>
            </w:r>
          </w:p>
        </w:tc>
      </w:tr>
      <w:tr w:rsidR="00CD3037" w:rsidRPr="00CD3037" w:rsidTr="00CD3037">
        <w:trPr>
          <w:trHeight w:val="534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49 308,6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2 887,5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52 196,0</w:t>
            </w:r>
          </w:p>
        </w:tc>
      </w:tr>
      <w:tr w:rsidR="00CD3037" w:rsidRPr="00CD3037" w:rsidTr="00CD3037">
        <w:trPr>
          <w:trHeight w:val="531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</w:t>
            </w:r>
            <w:proofErr w:type="gramStart"/>
            <w:r w:rsidRPr="00CD3037">
              <w:rPr>
                <w:sz w:val="20"/>
                <w:szCs w:val="20"/>
              </w:rPr>
              <w:t>в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293 050,6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19 182,6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312 233,2</w:t>
            </w:r>
          </w:p>
        </w:tc>
      </w:tr>
      <w:tr w:rsidR="00CD3037" w:rsidRPr="00CD3037" w:rsidTr="00CD3037">
        <w:trPr>
          <w:trHeight w:val="399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5."Развитие </w:t>
            </w:r>
            <w:proofErr w:type="gramStart"/>
            <w:r w:rsidRPr="00CD3037">
              <w:rPr>
                <w:sz w:val="20"/>
                <w:szCs w:val="20"/>
              </w:rPr>
              <w:t>образования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2 197 683,8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2 197 683,8</w:t>
            </w:r>
          </w:p>
        </w:tc>
      </w:tr>
      <w:tr w:rsidR="00CD3037" w:rsidRPr="00CD3037" w:rsidTr="00CD3037">
        <w:trPr>
          <w:trHeight w:val="33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Муниципальная программа 6."</w:t>
            </w:r>
            <w:proofErr w:type="gramStart"/>
            <w:r w:rsidRPr="00CD3037">
              <w:rPr>
                <w:sz w:val="20"/>
                <w:szCs w:val="20"/>
              </w:rPr>
              <w:t>Культура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334 533,8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334 533,8</w:t>
            </w:r>
          </w:p>
        </w:tc>
      </w:tr>
      <w:tr w:rsidR="00CD3037" w:rsidRPr="00CD3037" w:rsidTr="00CD3037">
        <w:trPr>
          <w:trHeight w:val="71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proofErr w:type="gramStart"/>
            <w:r w:rsidRPr="00CD3037">
              <w:rPr>
                <w:sz w:val="20"/>
                <w:szCs w:val="20"/>
              </w:rPr>
              <w:t>образования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35 579,5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35 579,5</w:t>
            </w:r>
          </w:p>
        </w:tc>
      </w:tr>
      <w:tr w:rsidR="00CD3037" w:rsidRPr="00CD3037" w:rsidTr="00CD3037">
        <w:trPr>
          <w:trHeight w:val="588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8."Формирование современной городской </w:t>
            </w:r>
            <w:proofErr w:type="gramStart"/>
            <w:r w:rsidRPr="00CD3037">
              <w:rPr>
                <w:sz w:val="20"/>
                <w:szCs w:val="20"/>
              </w:rPr>
              <w:t>среды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36 418,4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36 418,4</w:t>
            </w:r>
          </w:p>
        </w:tc>
      </w:tr>
      <w:tr w:rsidR="00CD3037" w:rsidRPr="00CD3037" w:rsidTr="00CD3037">
        <w:trPr>
          <w:trHeight w:val="74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CD3037">
              <w:rPr>
                <w:sz w:val="20"/>
                <w:szCs w:val="20"/>
              </w:rPr>
              <w:t>в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3 845,0</w:t>
            </w:r>
          </w:p>
        </w:tc>
      </w:tr>
      <w:tr w:rsidR="00CD3037" w:rsidRPr="00CD3037" w:rsidTr="00CD3037">
        <w:trPr>
          <w:trHeight w:val="782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037" w:rsidRPr="00CD3037" w:rsidRDefault="00CD3037" w:rsidP="00CD3037">
            <w:pPr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 xml:space="preserve">Муниципальная программа 10. "Профилактика терроризма, экстремизма и ликвидация последствий проявлений терроризма и экстремизма на </w:t>
            </w:r>
            <w:proofErr w:type="gramStart"/>
            <w:r w:rsidRPr="00CD3037">
              <w:rPr>
                <w:sz w:val="20"/>
                <w:szCs w:val="20"/>
              </w:rPr>
              <w:t>территории</w:t>
            </w:r>
            <w:proofErr w:type="gramEnd"/>
            <w:r w:rsidRPr="00CD3037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sz w:val="20"/>
                <w:szCs w:val="20"/>
              </w:rPr>
            </w:pPr>
            <w:r w:rsidRPr="00CD3037">
              <w:rPr>
                <w:sz w:val="20"/>
                <w:szCs w:val="20"/>
              </w:rPr>
              <w:t>90,0</w:t>
            </w:r>
          </w:p>
        </w:tc>
      </w:tr>
      <w:tr w:rsidR="00CD3037" w:rsidRPr="00CD3037" w:rsidTr="00CD3037">
        <w:trPr>
          <w:trHeight w:val="31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37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37">
              <w:rPr>
                <w:b/>
                <w:bCs/>
                <w:sz w:val="20"/>
                <w:szCs w:val="20"/>
              </w:rPr>
              <w:t>2 986 136,3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37">
              <w:rPr>
                <w:b/>
                <w:bCs/>
                <w:sz w:val="20"/>
                <w:szCs w:val="20"/>
              </w:rPr>
              <w:t>22 070,0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3037" w:rsidRPr="00CD3037" w:rsidRDefault="00CD3037" w:rsidP="00CD3037">
            <w:pPr>
              <w:jc w:val="center"/>
              <w:rPr>
                <w:b/>
                <w:bCs/>
                <w:sz w:val="20"/>
                <w:szCs w:val="20"/>
              </w:rPr>
            </w:pPr>
            <w:r w:rsidRPr="00CD3037">
              <w:rPr>
                <w:b/>
                <w:bCs/>
                <w:sz w:val="20"/>
                <w:szCs w:val="20"/>
              </w:rPr>
              <w:t>3 008 206,3</w:t>
            </w:r>
          </w:p>
        </w:tc>
      </w:tr>
    </w:tbl>
    <w:p w:rsidR="00F77378" w:rsidRPr="00314597" w:rsidRDefault="00F77378" w:rsidP="000A2BFB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0A2BFB" w:rsidRPr="006265BB" w:rsidRDefault="000A2BFB" w:rsidP="000A2BFB">
      <w:pPr>
        <w:tabs>
          <w:tab w:val="left" w:pos="0"/>
        </w:tabs>
        <w:ind w:firstLine="709"/>
        <w:jc w:val="both"/>
        <w:rPr>
          <w:b/>
        </w:rPr>
      </w:pPr>
      <w:r w:rsidRPr="006265BB">
        <w:rPr>
          <w:b/>
        </w:rPr>
        <w:t>Плановый период 2020 и 2021 годов.</w:t>
      </w:r>
    </w:p>
    <w:p w:rsidR="006265BB" w:rsidRPr="006265BB" w:rsidRDefault="006265BB" w:rsidP="006265BB">
      <w:pPr>
        <w:tabs>
          <w:tab w:val="left" w:pos="0"/>
        </w:tabs>
        <w:ind w:firstLine="709"/>
        <w:jc w:val="both"/>
      </w:pPr>
      <w:r w:rsidRPr="006265BB">
        <w:t>С целью проведения конкурентных процедур</w:t>
      </w:r>
      <w:r>
        <w:t xml:space="preserve">, на первый год планового периода </w:t>
      </w:r>
      <w:r w:rsidRPr="006265BB">
        <w:t xml:space="preserve">увеличены расходы </w:t>
      </w:r>
      <w:r>
        <w:t xml:space="preserve">на сумму </w:t>
      </w:r>
      <w:r w:rsidRPr="006265BB">
        <w:t xml:space="preserve">96 873,3 тыс. рублей </w:t>
      </w:r>
      <w:r>
        <w:t>для</w:t>
      </w:r>
      <w:r w:rsidRPr="006265BB">
        <w:t xml:space="preserve"> строительств</w:t>
      </w:r>
      <w:r>
        <w:t>а</w:t>
      </w:r>
      <w:r w:rsidRPr="006265BB">
        <w:t xml:space="preserve"> объекта «Общеобразовательная средняя школа на 1200 мест </w:t>
      </w:r>
      <w:proofErr w:type="gramStart"/>
      <w:r w:rsidRPr="006265BB">
        <w:t>в</w:t>
      </w:r>
      <w:proofErr w:type="gramEnd"/>
      <w:r w:rsidRPr="006265BB">
        <w:t xml:space="preserve"> ЗАТО г. Североморск Мурманской </w:t>
      </w:r>
      <w:r w:rsidRPr="006265BB">
        <w:lastRenderedPageBreak/>
        <w:t xml:space="preserve">области» ГРБС – Администрации ЗАТО г. Североморск по разделу 0700 «Образование». Средства перераспределены от ГРБС – Управление образования </w:t>
      </w:r>
      <w:proofErr w:type="gramStart"/>
      <w:r w:rsidRPr="006265BB">
        <w:t>администрации</w:t>
      </w:r>
      <w:proofErr w:type="gramEnd"/>
      <w:r w:rsidRPr="006265BB">
        <w:t xml:space="preserve"> ЗАТО г, Североморск. Уменьшены расходы на предоставления субсидий муниципальным бюджетным и автономным учреждениям   (учреждения дошкольного образования).</w:t>
      </w:r>
    </w:p>
    <w:p w:rsidR="000A2BFB" w:rsidRPr="006265BB" w:rsidRDefault="000A2BFB" w:rsidP="000A2BFB">
      <w:pPr>
        <w:tabs>
          <w:tab w:val="left" w:pos="0"/>
        </w:tabs>
        <w:ind w:firstLine="709"/>
        <w:jc w:val="both"/>
      </w:pPr>
      <w:r w:rsidRPr="006265BB">
        <w:t>Общий объем расходов планового периода 20</w:t>
      </w:r>
      <w:r w:rsidR="006265BB" w:rsidRPr="006265BB">
        <w:t>20</w:t>
      </w:r>
      <w:r w:rsidRPr="006265BB">
        <w:t xml:space="preserve"> и 202</w:t>
      </w:r>
      <w:r w:rsidR="006265BB" w:rsidRPr="006265BB">
        <w:t>1</w:t>
      </w:r>
      <w:r w:rsidRPr="006265BB">
        <w:t xml:space="preserve"> годов не изменен. </w:t>
      </w:r>
    </w:p>
    <w:p w:rsidR="000A2BFB" w:rsidRPr="004C4A30" w:rsidRDefault="000A2BFB" w:rsidP="000A2BFB">
      <w:pPr>
        <w:tabs>
          <w:tab w:val="left" w:pos="0"/>
        </w:tabs>
        <w:ind w:firstLine="709"/>
        <w:jc w:val="both"/>
        <w:rPr>
          <w:highlight w:val="lightGray"/>
        </w:rPr>
      </w:pPr>
    </w:p>
    <w:p w:rsidR="000A2BFB" w:rsidRPr="004C4A30" w:rsidRDefault="000A2BFB" w:rsidP="000A2BFB">
      <w:pPr>
        <w:tabs>
          <w:tab w:val="left" w:pos="0"/>
        </w:tabs>
        <w:ind w:firstLine="720"/>
        <w:jc w:val="both"/>
      </w:pPr>
      <w:r w:rsidRPr="004C4A30">
        <w:rPr>
          <w:b/>
        </w:rPr>
        <w:t xml:space="preserve">3.  Изменение параметров по источникам финансирования дефицита бюджета.  </w:t>
      </w:r>
    </w:p>
    <w:p w:rsidR="000A2BFB" w:rsidRPr="004C4A30" w:rsidRDefault="000A2BFB" w:rsidP="000A2BFB">
      <w:pPr>
        <w:tabs>
          <w:tab w:val="left" w:pos="0"/>
        </w:tabs>
        <w:ind w:firstLine="720"/>
        <w:jc w:val="both"/>
      </w:pPr>
      <w:r w:rsidRPr="004C4A30">
        <w:t xml:space="preserve">В результате изменения общего объема расходов бюджета, изменен объем источников финансирования дефицита бюджета, </w:t>
      </w:r>
      <w:r w:rsidR="006265BB" w:rsidRPr="004C4A30">
        <w:t>увеличен</w:t>
      </w:r>
      <w:r w:rsidRPr="004C4A30">
        <w:t xml:space="preserve"> дефицит бюджета на 201</w:t>
      </w:r>
      <w:r w:rsidR="006265BB" w:rsidRPr="004C4A30">
        <w:t>9</w:t>
      </w:r>
      <w:r w:rsidRPr="004C4A30">
        <w:t xml:space="preserve"> год на сумму </w:t>
      </w:r>
      <w:r w:rsidR="006265BB" w:rsidRPr="004C4A30">
        <w:t>22 070,0</w:t>
      </w:r>
      <w:r w:rsidRPr="004C4A30">
        <w:t xml:space="preserve"> тыс. рублей, в результате составил </w:t>
      </w:r>
      <w:r w:rsidR="006265BB" w:rsidRPr="004C4A30">
        <w:t>–</w:t>
      </w:r>
      <w:r w:rsidRPr="004C4A30">
        <w:t xml:space="preserve"> </w:t>
      </w:r>
      <w:r w:rsidR="006265BB" w:rsidRPr="004C4A30">
        <w:t>91 815,5</w:t>
      </w:r>
      <w:r w:rsidRPr="004C4A30">
        <w:t xml:space="preserve"> тыс. рублей. </w:t>
      </w:r>
    </w:p>
    <w:p w:rsidR="000A2BFB" w:rsidRPr="00836CC2" w:rsidRDefault="000A2BFB" w:rsidP="000A2BFB">
      <w:pPr>
        <w:tabs>
          <w:tab w:val="left" w:pos="0"/>
        </w:tabs>
        <w:ind w:firstLine="720"/>
        <w:jc w:val="both"/>
      </w:pPr>
      <w:r w:rsidRPr="004C4A30">
        <w:t xml:space="preserve">Источниками финансирования дефицита бюджета являются кредиты кредитных </w:t>
      </w:r>
      <w:r w:rsidRPr="00836CC2">
        <w:t>организаций и изменение остатков на счетах по учету средств бюджета</w:t>
      </w:r>
      <w:r w:rsidR="006265BB" w:rsidRPr="00836CC2">
        <w:t>.</w:t>
      </w:r>
    </w:p>
    <w:p w:rsidR="000A2BFB" w:rsidRPr="00836CC2" w:rsidRDefault="000A2BFB" w:rsidP="000A2BFB">
      <w:pPr>
        <w:tabs>
          <w:tab w:val="left" w:pos="0"/>
        </w:tabs>
        <w:ind w:firstLine="720"/>
        <w:jc w:val="both"/>
        <w:rPr>
          <w:b/>
          <w:highlight w:val="lightGray"/>
        </w:rPr>
      </w:pPr>
    </w:p>
    <w:p w:rsidR="00BA33C0" w:rsidRPr="00836CC2" w:rsidRDefault="00BA33C0" w:rsidP="00BA33C0">
      <w:pPr>
        <w:tabs>
          <w:tab w:val="left" w:pos="0"/>
        </w:tabs>
        <w:ind w:firstLine="720"/>
        <w:jc w:val="both"/>
        <w:rPr>
          <w:b/>
        </w:rPr>
      </w:pPr>
      <w:r w:rsidRPr="00836CC2">
        <w:rPr>
          <w:b/>
        </w:rPr>
        <w:t xml:space="preserve">4. Изменения Программы муниципальных внутренних </w:t>
      </w:r>
      <w:proofErr w:type="gramStart"/>
      <w:r w:rsidRPr="00836CC2">
        <w:rPr>
          <w:b/>
        </w:rPr>
        <w:t>заимствований</w:t>
      </w:r>
      <w:proofErr w:type="gramEnd"/>
      <w:r w:rsidRPr="00836CC2">
        <w:rPr>
          <w:b/>
        </w:rPr>
        <w:t xml:space="preserve"> ЗАТО г. Североморск на 2019 год</w:t>
      </w:r>
    </w:p>
    <w:p w:rsidR="004C4A30" w:rsidRPr="00836CC2" w:rsidRDefault="004C4A30" w:rsidP="00BA33C0">
      <w:pPr>
        <w:tabs>
          <w:tab w:val="left" w:pos="0"/>
        </w:tabs>
        <w:ind w:firstLine="720"/>
        <w:jc w:val="both"/>
      </w:pPr>
      <w:r w:rsidRPr="00836CC2">
        <w:t xml:space="preserve">С целью обеспечения эффективного и экономного расходования </w:t>
      </w:r>
      <w:r w:rsidR="00836CC2" w:rsidRPr="00836CC2">
        <w:t xml:space="preserve">бюджетных </w:t>
      </w:r>
      <w:r w:rsidRPr="00836CC2">
        <w:t xml:space="preserve">средств, оперативного реагирования на </w:t>
      </w:r>
      <w:r w:rsidR="00836CC2" w:rsidRPr="00836CC2">
        <w:t>изменение остатков средств на счетах по учету средств бюджета</w:t>
      </w:r>
      <w:r w:rsidRPr="00836CC2">
        <w:t xml:space="preserve">, </w:t>
      </w:r>
      <w:r w:rsidR="00836CC2" w:rsidRPr="00836CC2">
        <w:t xml:space="preserve">а также своевременного доведения предельных объемов финансирования ГРБС, </w:t>
      </w:r>
      <w:r w:rsidRPr="00836CC2">
        <w:t>в программу муниципальных заимствований внесены следующие изменения:</w:t>
      </w:r>
    </w:p>
    <w:p w:rsidR="004C4A30" w:rsidRPr="004C4A30" w:rsidRDefault="004C4A30" w:rsidP="004C4A30">
      <w:pPr>
        <w:tabs>
          <w:tab w:val="left" w:pos="0"/>
        </w:tabs>
        <w:ind w:firstLine="720"/>
        <w:jc w:val="right"/>
      </w:pPr>
      <w:r w:rsidRPr="004C4A30">
        <w:t>тыс. рублей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1417"/>
        <w:gridCol w:w="1276"/>
        <w:gridCol w:w="1134"/>
      </w:tblGrid>
      <w:tr w:rsidR="004C4A30" w:rsidRPr="004C4A30" w:rsidTr="00836CC2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C4A30">
              <w:rPr>
                <w:b/>
                <w:bCs/>
                <w:sz w:val="20"/>
                <w:szCs w:val="20"/>
                <w:lang w:eastAsia="en-US"/>
              </w:rPr>
              <w:t>Виды заимствований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C4A30">
              <w:rPr>
                <w:b/>
                <w:bCs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4C4A30"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4C4A30">
              <w:rPr>
                <w:b/>
                <w:bCs/>
                <w:sz w:val="20"/>
                <w:szCs w:val="20"/>
                <w:lang w:eastAsia="en-US"/>
              </w:rPr>
              <w:t>Сумма</w:t>
            </w:r>
          </w:p>
        </w:tc>
      </w:tr>
      <w:tr w:rsidR="004C4A30" w:rsidRPr="004C4A30" w:rsidTr="00836CC2">
        <w:trPr>
          <w:trHeight w:val="3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Внутренние заимствования (привлечение/погашение)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68 300,0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68 300,0</w:t>
            </w:r>
          </w:p>
        </w:tc>
      </w:tr>
      <w:tr w:rsidR="004C4A30" w:rsidRPr="004C4A30" w:rsidTr="00836CC2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99 100,0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99 100,0</w:t>
            </w:r>
          </w:p>
        </w:tc>
      </w:tr>
      <w:tr w:rsidR="004C4A30" w:rsidRPr="004C4A30" w:rsidTr="00836CC2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129 900,0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219 200,0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349 100,0</w:t>
            </w:r>
          </w:p>
        </w:tc>
      </w:tr>
      <w:tr w:rsidR="00BA33C0" w:rsidRPr="004C4A30" w:rsidTr="00836CC2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0" w:rsidRPr="004C4A30" w:rsidRDefault="00BA33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30 800,0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219 200,0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33C0" w:rsidRPr="004C4A30" w:rsidRDefault="004C4A3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C4A30">
              <w:rPr>
                <w:sz w:val="20"/>
                <w:szCs w:val="20"/>
                <w:lang w:eastAsia="en-US"/>
              </w:rPr>
              <w:t>250 000,0</w:t>
            </w:r>
          </w:p>
        </w:tc>
      </w:tr>
    </w:tbl>
    <w:p w:rsidR="000A2BFB" w:rsidRPr="004C4A30" w:rsidRDefault="000A2BFB" w:rsidP="000A2BFB">
      <w:pPr>
        <w:tabs>
          <w:tab w:val="left" w:pos="0"/>
        </w:tabs>
        <w:ind w:firstLine="720"/>
        <w:jc w:val="both"/>
        <w:rPr>
          <w:b/>
          <w:highlight w:val="lightGray"/>
        </w:rPr>
      </w:pPr>
    </w:p>
    <w:p w:rsidR="000A2BFB" w:rsidRPr="004C4A30" w:rsidRDefault="000A2BFB" w:rsidP="000A2BFB">
      <w:pPr>
        <w:tabs>
          <w:tab w:val="left" w:pos="0"/>
        </w:tabs>
        <w:ind w:firstLine="720"/>
        <w:jc w:val="both"/>
        <w:rPr>
          <w:b/>
        </w:rPr>
      </w:pPr>
    </w:p>
    <w:p w:rsidR="000A2BFB" w:rsidRPr="004C4A30" w:rsidRDefault="00BA33C0" w:rsidP="000A2BFB">
      <w:pPr>
        <w:tabs>
          <w:tab w:val="left" w:pos="0"/>
        </w:tabs>
        <w:ind w:firstLine="720"/>
        <w:jc w:val="both"/>
      </w:pPr>
      <w:r w:rsidRPr="004C4A30">
        <w:rPr>
          <w:b/>
        </w:rPr>
        <w:t>5</w:t>
      </w:r>
      <w:r w:rsidR="000A2BFB" w:rsidRPr="004C4A30">
        <w:rPr>
          <w:b/>
        </w:rPr>
        <w:t xml:space="preserve">.  Текстовая часть решения.  </w:t>
      </w:r>
    </w:p>
    <w:p w:rsidR="000A2BFB" w:rsidRPr="004C4A30" w:rsidRDefault="004C4A30" w:rsidP="000A2BFB">
      <w:pPr>
        <w:tabs>
          <w:tab w:val="left" w:pos="0"/>
        </w:tabs>
        <w:ind w:firstLine="720"/>
        <w:jc w:val="both"/>
        <w:rPr>
          <w:bCs/>
        </w:rPr>
      </w:pPr>
      <w:r w:rsidRPr="004C4A30">
        <w:t xml:space="preserve">В связи с изменением основных параметров бюджета на 2019 год и плановый период 2020 и 2021 годов,  изменением объемов Муниципального дорожного </w:t>
      </w:r>
      <w:proofErr w:type="gramStart"/>
      <w:r w:rsidRPr="004C4A30">
        <w:t>фонда</w:t>
      </w:r>
      <w:proofErr w:type="gramEnd"/>
      <w:r w:rsidRPr="004C4A30">
        <w:t xml:space="preserve"> ЗАТО г. Североморск, а также снижением расходов на обслуживание муниципального долга </w:t>
      </w:r>
      <w:r w:rsidR="000A2BFB" w:rsidRPr="004C4A30">
        <w:t>внесены изменения</w:t>
      </w:r>
      <w:r w:rsidRPr="004C4A30">
        <w:t xml:space="preserve"> в текстовую часть решения.</w:t>
      </w:r>
    </w:p>
    <w:p w:rsidR="000A2BFB" w:rsidRPr="004C4A30" w:rsidRDefault="000A2BFB" w:rsidP="000A2BFB">
      <w:pPr>
        <w:tabs>
          <w:tab w:val="left" w:pos="0"/>
          <w:tab w:val="left" w:pos="1080"/>
        </w:tabs>
        <w:ind w:firstLine="720"/>
        <w:jc w:val="both"/>
        <w:rPr>
          <w:bCs/>
        </w:rPr>
      </w:pPr>
    </w:p>
    <w:p w:rsidR="000A2BFB" w:rsidRPr="004C4A30" w:rsidRDefault="000A2BFB" w:rsidP="000A2BFB">
      <w:pPr>
        <w:tabs>
          <w:tab w:val="left" w:pos="0"/>
          <w:tab w:val="left" w:pos="1080"/>
        </w:tabs>
        <w:ind w:firstLine="720"/>
        <w:jc w:val="both"/>
      </w:pPr>
      <w:r w:rsidRPr="004C4A30">
        <w:rPr>
          <w:bCs/>
        </w:rPr>
        <w:t xml:space="preserve">В результате внесенных изменений, Приложения №№ 4, </w:t>
      </w:r>
      <w:r w:rsidR="004C4A30" w:rsidRPr="004C4A30">
        <w:rPr>
          <w:bCs/>
        </w:rPr>
        <w:t xml:space="preserve">4.1, </w:t>
      </w:r>
      <w:r w:rsidRPr="004C4A30">
        <w:rPr>
          <w:bCs/>
        </w:rPr>
        <w:t xml:space="preserve">5, 6, 8, 8.1, 9, 9.1, 10, 10.1, 11, 11.1, 12 </w:t>
      </w:r>
      <w:r w:rsidRPr="004C4A30">
        <w:t>изложены в новой редакции</w:t>
      </w:r>
      <w:r w:rsidR="004C4A30" w:rsidRPr="004C4A30">
        <w:t>.</w:t>
      </w:r>
    </w:p>
    <w:p w:rsidR="000A2BFB" w:rsidRPr="004C4A30" w:rsidRDefault="000A2BFB" w:rsidP="00E100BC">
      <w:pPr>
        <w:tabs>
          <w:tab w:val="left" w:pos="0"/>
        </w:tabs>
        <w:ind w:firstLine="720"/>
        <w:jc w:val="both"/>
      </w:pPr>
    </w:p>
    <w:p w:rsidR="000A2BFB" w:rsidRPr="004C4A30" w:rsidRDefault="000A2BFB" w:rsidP="00E100BC">
      <w:pPr>
        <w:tabs>
          <w:tab w:val="left" w:pos="0"/>
        </w:tabs>
        <w:ind w:firstLine="720"/>
        <w:jc w:val="both"/>
      </w:pPr>
    </w:p>
    <w:p w:rsidR="00E8654D" w:rsidRPr="004C4A30" w:rsidRDefault="00E8654D" w:rsidP="001059D2">
      <w:pPr>
        <w:rPr>
          <w:b/>
          <w:bCs/>
          <w:sz w:val="26"/>
          <w:szCs w:val="26"/>
        </w:rPr>
      </w:pPr>
    </w:p>
    <w:p w:rsidR="00E8654D" w:rsidRPr="004C4A30" w:rsidRDefault="00E8654D" w:rsidP="001059D2">
      <w:pPr>
        <w:rPr>
          <w:b/>
          <w:bCs/>
          <w:sz w:val="26"/>
          <w:szCs w:val="26"/>
        </w:rPr>
      </w:pPr>
    </w:p>
    <w:p w:rsidR="001059D2" w:rsidRPr="004C4A30" w:rsidRDefault="00630D23" w:rsidP="001059D2">
      <w:pPr>
        <w:rPr>
          <w:b/>
          <w:bCs/>
          <w:sz w:val="26"/>
          <w:szCs w:val="26"/>
        </w:rPr>
      </w:pPr>
      <w:r w:rsidRPr="004C4A30">
        <w:rPr>
          <w:b/>
          <w:bCs/>
          <w:sz w:val="26"/>
          <w:szCs w:val="26"/>
        </w:rPr>
        <w:t>Н</w:t>
      </w:r>
      <w:r w:rsidR="001059D2" w:rsidRPr="004C4A30">
        <w:rPr>
          <w:b/>
          <w:bCs/>
          <w:sz w:val="26"/>
          <w:szCs w:val="26"/>
        </w:rPr>
        <w:t>ачальник Управления финансов</w:t>
      </w:r>
    </w:p>
    <w:p w:rsidR="00773AB9" w:rsidRPr="004C4A30" w:rsidRDefault="001059D2">
      <w:pPr>
        <w:rPr>
          <w:b/>
          <w:bCs/>
          <w:sz w:val="26"/>
          <w:szCs w:val="26"/>
        </w:rPr>
      </w:pPr>
      <w:proofErr w:type="gramStart"/>
      <w:r w:rsidRPr="004C4A30">
        <w:rPr>
          <w:b/>
          <w:bCs/>
          <w:sz w:val="26"/>
          <w:szCs w:val="26"/>
        </w:rPr>
        <w:t>администрации</w:t>
      </w:r>
      <w:proofErr w:type="gramEnd"/>
      <w:r w:rsidRPr="004C4A30">
        <w:rPr>
          <w:b/>
          <w:bCs/>
          <w:sz w:val="26"/>
          <w:szCs w:val="26"/>
        </w:rPr>
        <w:t xml:space="preserve"> ЗАТО г. Североморск          </w:t>
      </w:r>
      <w:r w:rsidR="00F44038" w:rsidRPr="004C4A30">
        <w:rPr>
          <w:b/>
          <w:bCs/>
          <w:sz w:val="26"/>
          <w:szCs w:val="26"/>
        </w:rPr>
        <w:t xml:space="preserve">      </w:t>
      </w:r>
      <w:r w:rsidRPr="004C4A30">
        <w:rPr>
          <w:b/>
          <w:bCs/>
          <w:sz w:val="26"/>
          <w:szCs w:val="26"/>
        </w:rPr>
        <w:t xml:space="preserve">        </w:t>
      </w:r>
      <w:r w:rsidR="00C16F2C" w:rsidRPr="004C4A30">
        <w:rPr>
          <w:b/>
          <w:bCs/>
          <w:sz w:val="26"/>
          <w:szCs w:val="26"/>
        </w:rPr>
        <w:t xml:space="preserve">                    </w:t>
      </w:r>
      <w:r w:rsidR="00630D23" w:rsidRPr="004C4A30">
        <w:rPr>
          <w:b/>
          <w:bCs/>
          <w:sz w:val="26"/>
          <w:szCs w:val="26"/>
        </w:rPr>
        <w:t xml:space="preserve">Н. А. </w:t>
      </w:r>
      <w:proofErr w:type="spellStart"/>
      <w:r w:rsidR="00630D23" w:rsidRPr="004C4A30">
        <w:rPr>
          <w:b/>
          <w:bCs/>
          <w:sz w:val="26"/>
          <w:szCs w:val="26"/>
        </w:rPr>
        <w:t>Ракшина</w:t>
      </w:r>
      <w:proofErr w:type="spellEnd"/>
      <w:r w:rsidR="00A82B30" w:rsidRPr="004C4A30">
        <w:rPr>
          <w:b/>
          <w:bCs/>
          <w:sz w:val="26"/>
          <w:szCs w:val="26"/>
        </w:rPr>
        <w:t xml:space="preserve"> </w:t>
      </w:r>
    </w:p>
    <w:p w:rsidR="00E8654D" w:rsidRPr="004C4A30" w:rsidRDefault="00E8654D">
      <w:pPr>
        <w:rPr>
          <w:b/>
          <w:bCs/>
          <w:sz w:val="26"/>
          <w:szCs w:val="26"/>
          <w:highlight w:val="lightGray"/>
        </w:rPr>
      </w:pPr>
    </w:p>
    <w:p w:rsidR="0068695C" w:rsidRPr="004C4A30" w:rsidRDefault="0068695C">
      <w:pPr>
        <w:rPr>
          <w:b/>
          <w:bCs/>
          <w:sz w:val="26"/>
          <w:szCs w:val="26"/>
          <w:highlight w:val="lightGray"/>
        </w:rPr>
      </w:pPr>
    </w:p>
    <w:p w:rsidR="00C00875" w:rsidRPr="004C4A30" w:rsidRDefault="0068695C">
      <w:pPr>
        <w:rPr>
          <w:sz w:val="20"/>
          <w:szCs w:val="20"/>
        </w:rPr>
      </w:pPr>
      <w:r w:rsidRPr="004C4A30">
        <w:rPr>
          <w:bCs/>
          <w:sz w:val="20"/>
          <w:szCs w:val="20"/>
        </w:rPr>
        <w:t xml:space="preserve">исп. </w:t>
      </w:r>
      <w:proofErr w:type="gramStart"/>
      <w:r w:rsidR="001966E3" w:rsidRPr="004C4A30">
        <w:rPr>
          <w:bCs/>
          <w:sz w:val="20"/>
          <w:szCs w:val="20"/>
        </w:rPr>
        <w:t>Шкода</w:t>
      </w:r>
      <w:proofErr w:type="gramEnd"/>
      <w:r w:rsidR="001966E3" w:rsidRPr="004C4A30">
        <w:rPr>
          <w:bCs/>
          <w:sz w:val="20"/>
          <w:szCs w:val="20"/>
        </w:rPr>
        <w:t xml:space="preserve"> Е.А. (81537)46199</w:t>
      </w:r>
    </w:p>
    <w:sectPr w:rsidR="00C00875" w:rsidRPr="004C4A30" w:rsidSect="00476634">
      <w:pgSz w:w="11906" w:h="16838"/>
      <w:pgMar w:top="851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1FC" w:rsidRDefault="008431FC" w:rsidP="00702719">
      <w:r>
        <w:separator/>
      </w:r>
    </w:p>
  </w:endnote>
  <w:endnote w:type="continuationSeparator" w:id="0">
    <w:p w:rsidR="008431FC" w:rsidRDefault="008431FC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1FC" w:rsidRDefault="008431FC" w:rsidP="00702719">
      <w:r>
        <w:separator/>
      </w:r>
    </w:p>
  </w:footnote>
  <w:footnote w:type="continuationSeparator" w:id="0">
    <w:p w:rsidR="008431FC" w:rsidRDefault="008431FC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FC2"/>
    <w:rsid w:val="0000280D"/>
    <w:rsid w:val="00002F45"/>
    <w:rsid w:val="00006759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32B0"/>
    <w:rsid w:val="00026E32"/>
    <w:rsid w:val="0002736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9B6"/>
    <w:rsid w:val="00050F27"/>
    <w:rsid w:val="000541F5"/>
    <w:rsid w:val="00054BCE"/>
    <w:rsid w:val="000566A2"/>
    <w:rsid w:val="000618B3"/>
    <w:rsid w:val="00061E70"/>
    <w:rsid w:val="000621DF"/>
    <w:rsid w:val="00063210"/>
    <w:rsid w:val="00063CEB"/>
    <w:rsid w:val="00065253"/>
    <w:rsid w:val="00065B70"/>
    <w:rsid w:val="0006625A"/>
    <w:rsid w:val="00066F2D"/>
    <w:rsid w:val="00067AE1"/>
    <w:rsid w:val="00073C18"/>
    <w:rsid w:val="000779E5"/>
    <w:rsid w:val="000800BF"/>
    <w:rsid w:val="00080124"/>
    <w:rsid w:val="0008033C"/>
    <w:rsid w:val="000809BD"/>
    <w:rsid w:val="00081F1D"/>
    <w:rsid w:val="0008447C"/>
    <w:rsid w:val="00086B45"/>
    <w:rsid w:val="00086BAD"/>
    <w:rsid w:val="0009238F"/>
    <w:rsid w:val="00092ACB"/>
    <w:rsid w:val="00092D45"/>
    <w:rsid w:val="00094B4E"/>
    <w:rsid w:val="00095277"/>
    <w:rsid w:val="00095D95"/>
    <w:rsid w:val="00095F40"/>
    <w:rsid w:val="00097E11"/>
    <w:rsid w:val="000A0EFE"/>
    <w:rsid w:val="000A2BFB"/>
    <w:rsid w:val="000A2F92"/>
    <w:rsid w:val="000A4157"/>
    <w:rsid w:val="000A4545"/>
    <w:rsid w:val="000A5F4C"/>
    <w:rsid w:val="000A6708"/>
    <w:rsid w:val="000B014A"/>
    <w:rsid w:val="000B03FC"/>
    <w:rsid w:val="000B0A44"/>
    <w:rsid w:val="000B19FB"/>
    <w:rsid w:val="000B1CA1"/>
    <w:rsid w:val="000B2129"/>
    <w:rsid w:val="000B3318"/>
    <w:rsid w:val="000B4395"/>
    <w:rsid w:val="000B5A89"/>
    <w:rsid w:val="000B5F55"/>
    <w:rsid w:val="000B6F22"/>
    <w:rsid w:val="000B75E6"/>
    <w:rsid w:val="000C5CE7"/>
    <w:rsid w:val="000D36A0"/>
    <w:rsid w:val="000D3A7B"/>
    <w:rsid w:val="000D547C"/>
    <w:rsid w:val="000D5A03"/>
    <w:rsid w:val="000E08BD"/>
    <w:rsid w:val="000F2FF4"/>
    <w:rsid w:val="000F3015"/>
    <w:rsid w:val="000F5C20"/>
    <w:rsid w:val="000F649D"/>
    <w:rsid w:val="00100439"/>
    <w:rsid w:val="0010138A"/>
    <w:rsid w:val="00102957"/>
    <w:rsid w:val="00104285"/>
    <w:rsid w:val="0010462F"/>
    <w:rsid w:val="001059D2"/>
    <w:rsid w:val="001071C9"/>
    <w:rsid w:val="00111393"/>
    <w:rsid w:val="00113EEF"/>
    <w:rsid w:val="00115693"/>
    <w:rsid w:val="00116357"/>
    <w:rsid w:val="0011780E"/>
    <w:rsid w:val="001201B1"/>
    <w:rsid w:val="00120EE7"/>
    <w:rsid w:val="00120FA4"/>
    <w:rsid w:val="00121150"/>
    <w:rsid w:val="001212EB"/>
    <w:rsid w:val="00124FBD"/>
    <w:rsid w:val="001272F3"/>
    <w:rsid w:val="00127D50"/>
    <w:rsid w:val="001320AC"/>
    <w:rsid w:val="0013577C"/>
    <w:rsid w:val="0014005C"/>
    <w:rsid w:val="0014008A"/>
    <w:rsid w:val="001444A5"/>
    <w:rsid w:val="0014550A"/>
    <w:rsid w:val="00146BB2"/>
    <w:rsid w:val="001509ED"/>
    <w:rsid w:val="00151CDA"/>
    <w:rsid w:val="00152525"/>
    <w:rsid w:val="001618A0"/>
    <w:rsid w:val="00162D2B"/>
    <w:rsid w:val="00165DF0"/>
    <w:rsid w:val="00166431"/>
    <w:rsid w:val="0016703A"/>
    <w:rsid w:val="00167454"/>
    <w:rsid w:val="00167EF3"/>
    <w:rsid w:val="001708B3"/>
    <w:rsid w:val="0017141A"/>
    <w:rsid w:val="00172754"/>
    <w:rsid w:val="00173ED2"/>
    <w:rsid w:val="00174B3D"/>
    <w:rsid w:val="00177E25"/>
    <w:rsid w:val="00181BD9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F5B"/>
    <w:rsid w:val="001C5826"/>
    <w:rsid w:val="001C6106"/>
    <w:rsid w:val="001D0ABE"/>
    <w:rsid w:val="001D1730"/>
    <w:rsid w:val="001D251E"/>
    <w:rsid w:val="001D43F1"/>
    <w:rsid w:val="001D4B6E"/>
    <w:rsid w:val="001E2B79"/>
    <w:rsid w:val="001E3E74"/>
    <w:rsid w:val="001E41BB"/>
    <w:rsid w:val="001E58D6"/>
    <w:rsid w:val="001E631C"/>
    <w:rsid w:val="001E71DD"/>
    <w:rsid w:val="001F09A2"/>
    <w:rsid w:val="001F0DEF"/>
    <w:rsid w:val="001F0E21"/>
    <w:rsid w:val="001F1A49"/>
    <w:rsid w:val="001F3058"/>
    <w:rsid w:val="001F539F"/>
    <w:rsid w:val="001F57AC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C17"/>
    <w:rsid w:val="00217E98"/>
    <w:rsid w:val="002206AB"/>
    <w:rsid w:val="0022073E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2B41"/>
    <w:rsid w:val="00254C58"/>
    <w:rsid w:val="00255231"/>
    <w:rsid w:val="00256385"/>
    <w:rsid w:val="00256FBE"/>
    <w:rsid w:val="002609D1"/>
    <w:rsid w:val="00261DF5"/>
    <w:rsid w:val="00261DFA"/>
    <w:rsid w:val="0026436E"/>
    <w:rsid w:val="00265CB8"/>
    <w:rsid w:val="0027003E"/>
    <w:rsid w:val="0027014F"/>
    <w:rsid w:val="00272686"/>
    <w:rsid w:val="00272CE8"/>
    <w:rsid w:val="0027384D"/>
    <w:rsid w:val="002741C4"/>
    <w:rsid w:val="00274921"/>
    <w:rsid w:val="00275625"/>
    <w:rsid w:val="00277F71"/>
    <w:rsid w:val="0028001D"/>
    <w:rsid w:val="002808D5"/>
    <w:rsid w:val="00280F0A"/>
    <w:rsid w:val="00281834"/>
    <w:rsid w:val="0028295D"/>
    <w:rsid w:val="00282E86"/>
    <w:rsid w:val="00283EE3"/>
    <w:rsid w:val="00284816"/>
    <w:rsid w:val="002857F3"/>
    <w:rsid w:val="00290001"/>
    <w:rsid w:val="002920BC"/>
    <w:rsid w:val="0029378D"/>
    <w:rsid w:val="0029470E"/>
    <w:rsid w:val="002966AE"/>
    <w:rsid w:val="002975B1"/>
    <w:rsid w:val="002A00F2"/>
    <w:rsid w:val="002A0A78"/>
    <w:rsid w:val="002A1B84"/>
    <w:rsid w:val="002A2397"/>
    <w:rsid w:val="002A597D"/>
    <w:rsid w:val="002A77C8"/>
    <w:rsid w:val="002A7F9D"/>
    <w:rsid w:val="002B0F9D"/>
    <w:rsid w:val="002B2FB7"/>
    <w:rsid w:val="002B55C8"/>
    <w:rsid w:val="002C6A6A"/>
    <w:rsid w:val="002D1C4F"/>
    <w:rsid w:val="002D2014"/>
    <w:rsid w:val="002D3E91"/>
    <w:rsid w:val="002D6D5F"/>
    <w:rsid w:val="002D6F2D"/>
    <w:rsid w:val="002D70E1"/>
    <w:rsid w:val="002E0E7D"/>
    <w:rsid w:val="002E14A3"/>
    <w:rsid w:val="002E1ABF"/>
    <w:rsid w:val="002E1F4B"/>
    <w:rsid w:val="002E2DAA"/>
    <w:rsid w:val="002E3C86"/>
    <w:rsid w:val="002F1BE0"/>
    <w:rsid w:val="002F3E96"/>
    <w:rsid w:val="002F44A8"/>
    <w:rsid w:val="002F4574"/>
    <w:rsid w:val="002F4C5F"/>
    <w:rsid w:val="002F60BB"/>
    <w:rsid w:val="00300A4E"/>
    <w:rsid w:val="00302F39"/>
    <w:rsid w:val="003064D7"/>
    <w:rsid w:val="00310705"/>
    <w:rsid w:val="00310D6E"/>
    <w:rsid w:val="00311FCF"/>
    <w:rsid w:val="00313E22"/>
    <w:rsid w:val="00314597"/>
    <w:rsid w:val="003152AC"/>
    <w:rsid w:val="00316BB4"/>
    <w:rsid w:val="00317B57"/>
    <w:rsid w:val="00323C87"/>
    <w:rsid w:val="00324833"/>
    <w:rsid w:val="00326365"/>
    <w:rsid w:val="003263F2"/>
    <w:rsid w:val="0032762A"/>
    <w:rsid w:val="003301B9"/>
    <w:rsid w:val="003332FD"/>
    <w:rsid w:val="00334185"/>
    <w:rsid w:val="00336E03"/>
    <w:rsid w:val="00341F49"/>
    <w:rsid w:val="00347118"/>
    <w:rsid w:val="00347EB8"/>
    <w:rsid w:val="003526EB"/>
    <w:rsid w:val="00352E3C"/>
    <w:rsid w:val="00352E65"/>
    <w:rsid w:val="0035397A"/>
    <w:rsid w:val="00354203"/>
    <w:rsid w:val="0035531E"/>
    <w:rsid w:val="00356200"/>
    <w:rsid w:val="00356CBC"/>
    <w:rsid w:val="0036035E"/>
    <w:rsid w:val="00361C74"/>
    <w:rsid w:val="0036257F"/>
    <w:rsid w:val="00362CE6"/>
    <w:rsid w:val="0036547C"/>
    <w:rsid w:val="00366D4E"/>
    <w:rsid w:val="00372A92"/>
    <w:rsid w:val="00376E9C"/>
    <w:rsid w:val="003771FE"/>
    <w:rsid w:val="00380A88"/>
    <w:rsid w:val="003832BE"/>
    <w:rsid w:val="00383CC7"/>
    <w:rsid w:val="00385FF1"/>
    <w:rsid w:val="0038744D"/>
    <w:rsid w:val="003874C0"/>
    <w:rsid w:val="0039029C"/>
    <w:rsid w:val="00390F28"/>
    <w:rsid w:val="00393351"/>
    <w:rsid w:val="00393721"/>
    <w:rsid w:val="00396324"/>
    <w:rsid w:val="003A2145"/>
    <w:rsid w:val="003A2FAE"/>
    <w:rsid w:val="003A330D"/>
    <w:rsid w:val="003A3BB1"/>
    <w:rsid w:val="003A4EC0"/>
    <w:rsid w:val="003A69BA"/>
    <w:rsid w:val="003B1B52"/>
    <w:rsid w:val="003B4796"/>
    <w:rsid w:val="003B5F62"/>
    <w:rsid w:val="003B63FF"/>
    <w:rsid w:val="003B6F4A"/>
    <w:rsid w:val="003B6FB7"/>
    <w:rsid w:val="003C03F1"/>
    <w:rsid w:val="003C06E8"/>
    <w:rsid w:val="003C1D21"/>
    <w:rsid w:val="003C254D"/>
    <w:rsid w:val="003C285A"/>
    <w:rsid w:val="003C3C2B"/>
    <w:rsid w:val="003C6691"/>
    <w:rsid w:val="003C7472"/>
    <w:rsid w:val="003D1905"/>
    <w:rsid w:val="003D402D"/>
    <w:rsid w:val="003E0A83"/>
    <w:rsid w:val="003E0C7C"/>
    <w:rsid w:val="003E1CCF"/>
    <w:rsid w:val="003E1FFB"/>
    <w:rsid w:val="003E2581"/>
    <w:rsid w:val="003F1F50"/>
    <w:rsid w:val="003F412D"/>
    <w:rsid w:val="003F6AA6"/>
    <w:rsid w:val="003F6CE5"/>
    <w:rsid w:val="0040207C"/>
    <w:rsid w:val="00402E9C"/>
    <w:rsid w:val="0040456A"/>
    <w:rsid w:val="00405D5A"/>
    <w:rsid w:val="00407278"/>
    <w:rsid w:val="00407C77"/>
    <w:rsid w:val="00412718"/>
    <w:rsid w:val="00413ECE"/>
    <w:rsid w:val="00414E06"/>
    <w:rsid w:val="0041556C"/>
    <w:rsid w:val="0041616D"/>
    <w:rsid w:val="00417381"/>
    <w:rsid w:val="004251C9"/>
    <w:rsid w:val="004277E4"/>
    <w:rsid w:val="004279C6"/>
    <w:rsid w:val="00427B3A"/>
    <w:rsid w:val="0043004D"/>
    <w:rsid w:val="004305CC"/>
    <w:rsid w:val="0043300D"/>
    <w:rsid w:val="0043510D"/>
    <w:rsid w:val="004405D8"/>
    <w:rsid w:val="0044135A"/>
    <w:rsid w:val="00442E6E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565A"/>
    <w:rsid w:val="004873F9"/>
    <w:rsid w:val="00487A08"/>
    <w:rsid w:val="00487ACF"/>
    <w:rsid w:val="004901AD"/>
    <w:rsid w:val="0049070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ED9"/>
    <w:rsid w:val="004B0B7C"/>
    <w:rsid w:val="004B1E36"/>
    <w:rsid w:val="004B1F62"/>
    <w:rsid w:val="004B3982"/>
    <w:rsid w:val="004B4D10"/>
    <w:rsid w:val="004C0B86"/>
    <w:rsid w:val="004C36C3"/>
    <w:rsid w:val="004C4A30"/>
    <w:rsid w:val="004C5AE9"/>
    <w:rsid w:val="004D1984"/>
    <w:rsid w:val="004D241A"/>
    <w:rsid w:val="004D32BF"/>
    <w:rsid w:val="004D3DAC"/>
    <w:rsid w:val="004D6089"/>
    <w:rsid w:val="004D6D4F"/>
    <w:rsid w:val="004E31A3"/>
    <w:rsid w:val="004E3787"/>
    <w:rsid w:val="004E5B9F"/>
    <w:rsid w:val="004E6E1D"/>
    <w:rsid w:val="004F36D2"/>
    <w:rsid w:val="004F3A3B"/>
    <w:rsid w:val="00500F56"/>
    <w:rsid w:val="00502C16"/>
    <w:rsid w:val="00503E2E"/>
    <w:rsid w:val="00503ED1"/>
    <w:rsid w:val="00504BF7"/>
    <w:rsid w:val="00505BB6"/>
    <w:rsid w:val="00505CDC"/>
    <w:rsid w:val="00506870"/>
    <w:rsid w:val="0051031D"/>
    <w:rsid w:val="005103E4"/>
    <w:rsid w:val="00510C38"/>
    <w:rsid w:val="005116F8"/>
    <w:rsid w:val="00514574"/>
    <w:rsid w:val="00514FFA"/>
    <w:rsid w:val="00515CEF"/>
    <w:rsid w:val="005167C5"/>
    <w:rsid w:val="00517B2A"/>
    <w:rsid w:val="00517BB3"/>
    <w:rsid w:val="00521012"/>
    <w:rsid w:val="00523254"/>
    <w:rsid w:val="00523E3A"/>
    <w:rsid w:val="00526F72"/>
    <w:rsid w:val="005273CA"/>
    <w:rsid w:val="00530415"/>
    <w:rsid w:val="00530CEE"/>
    <w:rsid w:val="0053440D"/>
    <w:rsid w:val="00540DE3"/>
    <w:rsid w:val="005452F7"/>
    <w:rsid w:val="005513A7"/>
    <w:rsid w:val="00551428"/>
    <w:rsid w:val="00555635"/>
    <w:rsid w:val="00556D96"/>
    <w:rsid w:val="00557B9E"/>
    <w:rsid w:val="005603BE"/>
    <w:rsid w:val="005605AF"/>
    <w:rsid w:val="0056068B"/>
    <w:rsid w:val="00560E32"/>
    <w:rsid w:val="00561F4D"/>
    <w:rsid w:val="00562C35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3A0"/>
    <w:rsid w:val="00590532"/>
    <w:rsid w:val="00591946"/>
    <w:rsid w:val="00593D5B"/>
    <w:rsid w:val="00595B8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70D3"/>
    <w:rsid w:val="005C0A2F"/>
    <w:rsid w:val="005C0ED9"/>
    <w:rsid w:val="005C37C1"/>
    <w:rsid w:val="005C5C7D"/>
    <w:rsid w:val="005C6447"/>
    <w:rsid w:val="005D06C8"/>
    <w:rsid w:val="005D0906"/>
    <w:rsid w:val="005D0F70"/>
    <w:rsid w:val="005D1BFF"/>
    <w:rsid w:val="005D2DBE"/>
    <w:rsid w:val="005D5238"/>
    <w:rsid w:val="005D56E2"/>
    <w:rsid w:val="005D5D19"/>
    <w:rsid w:val="005D6D51"/>
    <w:rsid w:val="005E1ADD"/>
    <w:rsid w:val="005E2237"/>
    <w:rsid w:val="005E2CA0"/>
    <w:rsid w:val="005E2DBC"/>
    <w:rsid w:val="005E3565"/>
    <w:rsid w:val="005E47BD"/>
    <w:rsid w:val="005F22A9"/>
    <w:rsid w:val="005F360A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52A9"/>
    <w:rsid w:val="006256DE"/>
    <w:rsid w:val="00626441"/>
    <w:rsid w:val="006265BB"/>
    <w:rsid w:val="00630D23"/>
    <w:rsid w:val="00633185"/>
    <w:rsid w:val="006343C1"/>
    <w:rsid w:val="006350FF"/>
    <w:rsid w:val="00635C11"/>
    <w:rsid w:val="00636945"/>
    <w:rsid w:val="006372E4"/>
    <w:rsid w:val="0064273F"/>
    <w:rsid w:val="00643EBC"/>
    <w:rsid w:val="00644180"/>
    <w:rsid w:val="00647B7C"/>
    <w:rsid w:val="0065056D"/>
    <w:rsid w:val="006507FF"/>
    <w:rsid w:val="006509CF"/>
    <w:rsid w:val="0065492B"/>
    <w:rsid w:val="00655B67"/>
    <w:rsid w:val="0065605A"/>
    <w:rsid w:val="0065609E"/>
    <w:rsid w:val="00656129"/>
    <w:rsid w:val="00657EEA"/>
    <w:rsid w:val="00660D17"/>
    <w:rsid w:val="0066389D"/>
    <w:rsid w:val="00663BFA"/>
    <w:rsid w:val="00664A2C"/>
    <w:rsid w:val="00664DD0"/>
    <w:rsid w:val="00665B21"/>
    <w:rsid w:val="0066696A"/>
    <w:rsid w:val="00666B17"/>
    <w:rsid w:val="00667674"/>
    <w:rsid w:val="006705F7"/>
    <w:rsid w:val="00670E45"/>
    <w:rsid w:val="006714B5"/>
    <w:rsid w:val="00672DB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695C"/>
    <w:rsid w:val="006871DE"/>
    <w:rsid w:val="00687452"/>
    <w:rsid w:val="00687C10"/>
    <w:rsid w:val="00690175"/>
    <w:rsid w:val="00690EF4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79D"/>
    <w:rsid w:val="006C1576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528D"/>
    <w:rsid w:val="0073004E"/>
    <w:rsid w:val="007328DB"/>
    <w:rsid w:val="007329B8"/>
    <w:rsid w:val="00732EB3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1676"/>
    <w:rsid w:val="00751D6E"/>
    <w:rsid w:val="007521F6"/>
    <w:rsid w:val="007527F6"/>
    <w:rsid w:val="00755B58"/>
    <w:rsid w:val="00765E33"/>
    <w:rsid w:val="007662B3"/>
    <w:rsid w:val="00767264"/>
    <w:rsid w:val="00770244"/>
    <w:rsid w:val="00772303"/>
    <w:rsid w:val="00773AB9"/>
    <w:rsid w:val="007750C5"/>
    <w:rsid w:val="007758E0"/>
    <w:rsid w:val="00775B4F"/>
    <w:rsid w:val="007802EF"/>
    <w:rsid w:val="00780E74"/>
    <w:rsid w:val="00781212"/>
    <w:rsid w:val="00781637"/>
    <w:rsid w:val="007831F1"/>
    <w:rsid w:val="007838D8"/>
    <w:rsid w:val="00783FDF"/>
    <w:rsid w:val="00785DF6"/>
    <w:rsid w:val="007865DC"/>
    <w:rsid w:val="00787CF1"/>
    <w:rsid w:val="0079065C"/>
    <w:rsid w:val="007910B6"/>
    <w:rsid w:val="0079206B"/>
    <w:rsid w:val="007945AA"/>
    <w:rsid w:val="007973CF"/>
    <w:rsid w:val="007A424C"/>
    <w:rsid w:val="007A4D6E"/>
    <w:rsid w:val="007A62F9"/>
    <w:rsid w:val="007B0A12"/>
    <w:rsid w:val="007B2B52"/>
    <w:rsid w:val="007B3AF1"/>
    <w:rsid w:val="007B3EEA"/>
    <w:rsid w:val="007B6AEF"/>
    <w:rsid w:val="007B785C"/>
    <w:rsid w:val="007C02E5"/>
    <w:rsid w:val="007C0AE0"/>
    <w:rsid w:val="007C483E"/>
    <w:rsid w:val="007C4B8D"/>
    <w:rsid w:val="007C73E6"/>
    <w:rsid w:val="007C76B0"/>
    <w:rsid w:val="007C7C21"/>
    <w:rsid w:val="007D05BF"/>
    <w:rsid w:val="007D07F4"/>
    <w:rsid w:val="007D1975"/>
    <w:rsid w:val="007D5450"/>
    <w:rsid w:val="007D646A"/>
    <w:rsid w:val="007D651A"/>
    <w:rsid w:val="007E5383"/>
    <w:rsid w:val="007E5D92"/>
    <w:rsid w:val="007E6353"/>
    <w:rsid w:val="007E6F46"/>
    <w:rsid w:val="007E7B2E"/>
    <w:rsid w:val="007F095C"/>
    <w:rsid w:val="007F1E30"/>
    <w:rsid w:val="007F47E3"/>
    <w:rsid w:val="007F7556"/>
    <w:rsid w:val="00800480"/>
    <w:rsid w:val="00800B85"/>
    <w:rsid w:val="00802100"/>
    <w:rsid w:val="0080291E"/>
    <w:rsid w:val="00803880"/>
    <w:rsid w:val="00803A7E"/>
    <w:rsid w:val="0080482D"/>
    <w:rsid w:val="008048F4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DC4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6503"/>
    <w:rsid w:val="00846C6B"/>
    <w:rsid w:val="008478F4"/>
    <w:rsid w:val="00847A33"/>
    <w:rsid w:val="00850B0E"/>
    <w:rsid w:val="00851EB2"/>
    <w:rsid w:val="00853894"/>
    <w:rsid w:val="00853BCB"/>
    <w:rsid w:val="00856E6E"/>
    <w:rsid w:val="00857EFC"/>
    <w:rsid w:val="008606CB"/>
    <w:rsid w:val="00861830"/>
    <w:rsid w:val="0086565A"/>
    <w:rsid w:val="008663CD"/>
    <w:rsid w:val="00866DC6"/>
    <w:rsid w:val="00867C26"/>
    <w:rsid w:val="00871AE5"/>
    <w:rsid w:val="0087450A"/>
    <w:rsid w:val="00874AD1"/>
    <w:rsid w:val="00875A4F"/>
    <w:rsid w:val="00877B84"/>
    <w:rsid w:val="00877E3C"/>
    <w:rsid w:val="00877EBA"/>
    <w:rsid w:val="008800F9"/>
    <w:rsid w:val="008811B6"/>
    <w:rsid w:val="008846B2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A05A1"/>
    <w:rsid w:val="008A110E"/>
    <w:rsid w:val="008A36FE"/>
    <w:rsid w:val="008A5BFB"/>
    <w:rsid w:val="008B0126"/>
    <w:rsid w:val="008B012D"/>
    <w:rsid w:val="008B285F"/>
    <w:rsid w:val="008B3DE9"/>
    <w:rsid w:val="008B4CDA"/>
    <w:rsid w:val="008B5229"/>
    <w:rsid w:val="008B6991"/>
    <w:rsid w:val="008B6EB6"/>
    <w:rsid w:val="008B7670"/>
    <w:rsid w:val="008C19F5"/>
    <w:rsid w:val="008C1ECA"/>
    <w:rsid w:val="008C240D"/>
    <w:rsid w:val="008C4DE8"/>
    <w:rsid w:val="008C4FE6"/>
    <w:rsid w:val="008C51BD"/>
    <w:rsid w:val="008C536F"/>
    <w:rsid w:val="008C707B"/>
    <w:rsid w:val="008D12AE"/>
    <w:rsid w:val="008D5C06"/>
    <w:rsid w:val="008D672C"/>
    <w:rsid w:val="008E005D"/>
    <w:rsid w:val="008E1C56"/>
    <w:rsid w:val="008E2578"/>
    <w:rsid w:val="008E6681"/>
    <w:rsid w:val="008E6DD8"/>
    <w:rsid w:val="008E7BD2"/>
    <w:rsid w:val="008F22E1"/>
    <w:rsid w:val="008F2EF6"/>
    <w:rsid w:val="008F3785"/>
    <w:rsid w:val="008F4098"/>
    <w:rsid w:val="008F559E"/>
    <w:rsid w:val="008F6359"/>
    <w:rsid w:val="008F6B60"/>
    <w:rsid w:val="00902D90"/>
    <w:rsid w:val="00904B00"/>
    <w:rsid w:val="009057B8"/>
    <w:rsid w:val="00907607"/>
    <w:rsid w:val="00907F51"/>
    <w:rsid w:val="00910C0C"/>
    <w:rsid w:val="009114DF"/>
    <w:rsid w:val="0091231D"/>
    <w:rsid w:val="00913C36"/>
    <w:rsid w:val="00914686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34B10"/>
    <w:rsid w:val="00935F0F"/>
    <w:rsid w:val="00937C82"/>
    <w:rsid w:val="00944928"/>
    <w:rsid w:val="009507B5"/>
    <w:rsid w:val="00953A8F"/>
    <w:rsid w:val="00956142"/>
    <w:rsid w:val="00960152"/>
    <w:rsid w:val="009604A2"/>
    <w:rsid w:val="00960D51"/>
    <w:rsid w:val="00960F7A"/>
    <w:rsid w:val="009623D3"/>
    <w:rsid w:val="0096310B"/>
    <w:rsid w:val="00965618"/>
    <w:rsid w:val="00966967"/>
    <w:rsid w:val="00971972"/>
    <w:rsid w:val="00975577"/>
    <w:rsid w:val="0097781E"/>
    <w:rsid w:val="009850A6"/>
    <w:rsid w:val="009859B6"/>
    <w:rsid w:val="00985CD7"/>
    <w:rsid w:val="0099055D"/>
    <w:rsid w:val="00990A78"/>
    <w:rsid w:val="00991D9E"/>
    <w:rsid w:val="00992AF3"/>
    <w:rsid w:val="00992B44"/>
    <w:rsid w:val="00994D2C"/>
    <w:rsid w:val="00995DC6"/>
    <w:rsid w:val="0099760B"/>
    <w:rsid w:val="009976CA"/>
    <w:rsid w:val="00997FA6"/>
    <w:rsid w:val="009A14C7"/>
    <w:rsid w:val="009A1C5D"/>
    <w:rsid w:val="009A245F"/>
    <w:rsid w:val="009A3CEE"/>
    <w:rsid w:val="009A3CF7"/>
    <w:rsid w:val="009A5A85"/>
    <w:rsid w:val="009A5E99"/>
    <w:rsid w:val="009A769E"/>
    <w:rsid w:val="009B16C4"/>
    <w:rsid w:val="009B27FF"/>
    <w:rsid w:val="009B6548"/>
    <w:rsid w:val="009B68A9"/>
    <w:rsid w:val="009B6E22"/>
    <w:rsid w:val="009B7D80"/>
    <w:rsid w:val="009B7E76"/>
    <w:rsid w:val="009C139B"/>
    <w:rsid w:val="009C2BA8"/>
    <w:rsid w:val="009C48E9"/>
    <w:rsid w:val="009C66CB"/>
    <w:rsid w:val="009D2478"/>
    <w:rsid w:val="009D32EF"/>
    <w:rsid w:val="009D5F14"/>
    <w:rsid w:val="009E0C74"/>
    <w:rsid w:val="009E1887"/>
    <w:rsid w:val="009E28F8"/>
    <w:rsid w:val="009E3DB5"/>
    <w:rsid w:val="009E550B"/>
    <w:rsid w:val="009E7B6D"/>
    <w:rsid w:val="009F02E4"/>
    <w:rsid w:val="009F30B2"/>
    <w:rsid w:val="009F4883"/>
    <w:rsid w:val="00A05E5D"/>
    <w:rsid w:val="00A06832"/>
    <w:rsid w:val="00A06AE4"/>
    <w:rsid w:val="00A11522"/>
    <w:rsid w:val="00A11712"/>
    <w:rsid w:val="00A11964"/>
    <w:rsid w:val="00A122CE"/>
    <w:rsid w:val="00A1235C"/>
    <w:rsid w:val="00A12765"/>
    <w:rsid w:val="00A127B2"/>
    <w:rsid w:val="00A12ECD"/>
    <w:rsid w:val="00A16253"/>
    <w:rsid w:val="00A172B4"/>
    <w:rsid w:val="00A17382"/>
    <w:rsid w:val="00A176AA"/>
    <w:rsid w:val="00A2344E"/>
    <w:rsid w:val="00A23A54"/>
    <w:rsid w:val="00A24BBF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423A2"/>
    <w:rsid w:val="00A42484"/>
    <w:rsid w:val="00A42653"/>
    <w:rsid w:val="00A44895"/>
    <w:rsid w:val="00A45106"/>
    <w:rsid w:val="00A45E43"/>
    <w:rsid w:val="00A469D2"/>
    <w:rsid w:val="00A50C5E"/>
    <w:rsid w:val="00A519E9"/>
    <w:rsid w:val="00A51BBC"/>
    <w:rsid w:val="00A51DF6"/>
    <w:rsid w:val="00A5207C"/>
    <w:rsid w:val="00A6134E"/>
    <w:rsid w:val="00A62FE5"/>
    <w:rsid w:val="00A63524"/>
    <w:rsid w:val="00A63C9C"/>
    <w:rsid w:val="00A64346"/>
    <w:rsid w:val="00A646BF"/>
    <w:rsid w:val="00A65E8F"/>
    <w:rsid w:val="00A6798A"/>
    <w:rsid w:val="00A71C2D"/>
    <w:rsid w:val="00A72F96"/>
    <w:rsid w:val="00A7437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232E"/>
    <w:rsid w:val="00AA48F3"/>
    <w:rsid w:val="00AA4F86"/>
    <w:rsid w:val="00AA66FF"/>
    <w:rsid w:val="00AB26BE"/>
    <w:rsid w:val="00AB6166"/>
    <w:rsid w:val="00AB6360"/>
    <w:rsid w:val="00AC0639"/>
    <w:rsid w:val="00AC6438"/>
    <w:rsid w:val="00AC71E8"/>
    <w:rsid w:val="00AD1B1F"/>
    <w:rsid w:val="00AD2308"/>
    <w:rsid w:val="00AD3CD8"/>
    <w:rsid w:val="00AD4CD6"/>
    <w:rsid w:val="00AD671C"/>
    <w:rsid w:val="00AD77AC"/>
    <w:rsid w:val="00AE11F9"/>
    <w:rsid w:val="00AE2A28"/>
    <w:rsid w:val="00AE6F88"/>
    <w:rsid w:val="00AF0295"/>
    <w:rsid w:val="00AF12C3"/>
    <w:rsid w:val="00AF19DD"/>
    <w:rsid w:val="00AF1CD2"/>
    <w:rsid w:val="00AF2B12"/>
    <w:rsid w:val="00AF5F5C"/>
    <w:rsid w:val="00AF794F"/>
    <w:rsid w:val="00AF79F5"/>
    <w:rsid w:val="00AF7E63"/>
    <w:rsid w:val="00B04298"/>
    <w:rsid w:val="00B057ED"/>
    <w:rsid w:val="00B06672"/>
    <w:rsid w:val="00B06819"/>
    <w:rsid w:val="00B07099"/>
    <w:rsid w:val="00B11C93"/>
    <w:rsid w:val="00B11EA8"/>
    <w:rsid w:val="00B1555D"/>
    <w:rsid w:val="00B16213"/>
    <w:rsid w:val="00B17961"/>
    <w:rsid w:val="00B2281C"/>
    <w:rsid w:val="00B23633"/>
    <w:rsid w:val="00B23B44"/>
    <w:rsid w:val="00B2498D"/>
    <w:rsid w:val="00B24AB5"/>
    <w:rsid w:val="00B24B82"/>
    <w:rsid w:val="00B24C14"/>
    <w:rsid w:val="00B25699"/>
    <w:rsid w:val="00B31BB5"/>
    <w:rsid w:val="00B326C0"/>
    <w:rsid w:val="00B32B8C"/>
    <w:rsid w:val="00B3353B"/>
    <w:rsid w:val="00B337B4"/>
    <w:rsid w:val="00B33A3F"/>
    <w:rsid w:val="00B340DD"/>
    <w:rsid w:val="00B44163"/>
    <w:rsid w:val="00B44EC7"/>
    <w:rsid w:val="00B47686"/>
    <w:rsid w:val="00B47A7C"/>
    <w:rsid w:val="00B516B4"/>
    <w:rsid w:val="00B534FA"/>
    <w:rsid w:val="00B5379F"/>
    <w:rsid w:val="00B56365"/>
    <w:rsid w:val="00B576D7"/>
    <w:rsid w:val="00B613F7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46B8"/>
    <w:rsid w:val="00B74832"/>
    <w:rsid w:val="00B828CC"/>
    <w:rsid w:val="00B82A5E"/>
    <w:rsid w:val="00B84D30"/>
    <w:rsid w:val="00B85952"/>
    <w:rsid w:val="00B87C52"/>
    <w:rsid w:val="00B90134"/>
    <w:rsid w:val="00B959CD"/>
    <w:rsid w:val="00B97C4B"/>
    <w:rsid w:val="00BA02EB"/>
    <w:rsid w:val="00BA0925"/>
    <w:rsid w:val="00BA1925"/>
    <w:rsid w:val="00BA33C0"/>
    <w:rsid w:val="00BA5194"/>
    <w:rsid w:val="00BA5495"/>
    <w:rsid w:val="00BA57AF"/>
    <w:rsid w:val="00BA7AC3"/>
    <w:rsid w:val="00BB0566"/>
    <w:rsid w:val="00BB28B6"/>
    <w:rsid w:val="00BB2FEB"/>
    <w:rsid w:val="00BB50F3"/>
    <w:rsid w:val="00BB5500"/>
    <w:rsid w:val="00BB7F01"/>
    <w:rsid w:val="00BC27C9"/>
    <w:rsid w:val="00BC2E0F"/>
    <w:rsid w:val="00BC63FE"/>
    <w:rsid w:val="00BC6CEC"/>
    <w:rsid w:val="00BC7491"/>
    <w:rsid w:val="00BD23A3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6095"/>
    <w:rsid w:val="00BF6D30"/>
    <w:rsid w:val="00C007FA"/>
    <w:rsid w:val="00C00875"/>
    <w:rsid w:val="00C01221"/>
    <w:rsid w:val="00C0195C"/>
    <w:rsid w:val="00C02C48"/>
    <w:rsid w:val="00C05CCD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694F"/>
    <w:rsid w:val="00C2716D"/>
    <w:rsid w:val="00C30437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63E74"/>
    <w:rsid w:val="00C65144"/>
    <w:rsid w:val="00C65A5B"/>
    <w:rsid w:val="00C6784A"/>
    <w:rsid w:val="00C7091A"/>
    <w:rsid w:val="00C71CBA"/>
    <w:rsid w:val="00C75911"/>
    <w:rsid w:val="00C75E82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B0F"/>
    <w:rsid w:val="00CA0695"/>
    <w:rsid w:val="00CA1670"/>
    <w:rsid w:val="00CA19F9"/>
    <w:rsid w:val="00CA2153"/>
    <w:rsid w:val="00CA47CA"/>
    <w:rsid w:val="00CA6FBF"/>
    <w:rsid w:val="00CB00CB"/>
    <w:rsid w:val="00CB081F"/>
    <w:rsid w:val="00CB1BCC"/>
    <w:rsid w:val="00CB2B25"/>
    <w:rsid w:val="00CB55BC"/>
    <w:rsid w:val="00CC0EB8"/>
    <w:rsid w:val="00CC1CD4"/>
    <w:rsid w:val="00CC4183"/>
    <w:rsid w:val="00CC7983"/>
    <w:rsid w:val="00CD3037"/>
    <w:rsid w:val="00CD38AA"/>
    <w:rsid w:val="00CD3E61"/>
    <w:rsid w:val="00CD6172"/>
    <w:rsid w:val="00CE38C1"/>
    <w:rsid w:val="00CE4F7F"/>
    <w:rsid w:val="00CE6271"/>
    <w:rsid w:val="00CF2936"/>
    <w:rsid w:val="00CF5755"/>
    <w:rsid w:val="00CF59A1"/>
    <w:rsid w:val="00CF6316"/>
    <w:rsid w:val="00CF73BB"/>
    <w:rsid w:val="00D00317"/>
    <w:rsid w:val="00D0118E"/>
    <w:rsid w:val="00D0754B"/>
    <w:rsid w:val="00D10FE2"/>
    <w:rsid w:val="00D157E5"/>
    <w:rsid w:val="00D17F3B"/>
    <w:rsid w:val="00D20F7D"/>
    <w:rsid w:val="00D217FB"/>
    <w:rsid w:val="00D2196B"/>
    <w:rsid w:val="00D220C6"/>
    <w:rsid w:val="00D224D3"/>
    <w:rsid w:val="00D229D9"/>
    <w:rsid w:val="00D22B76"/>
    <w:rsid w:val="00D25C82"/>
    <w:rsid w:val="00D2704B"/>
    <w:rsid w:val="00D27909"/>
    <w:rsid w:val="00D34535"/>
    <w:rsid w:val="00D35345"/>
    <w:rsid w:val="00D35EFD"/>
    <w:rsid w:val="00D3777F"/>
    <w:rsid w:val="00D42391"/>
    <w:rsid w:val="00D4346E"/>
    <w:rsid w:val="00D51AA6"/>
    <w:rsid w:val="00D55576"/>
    <w:rsid w:val="00D55DE6"/>
    <w:rsid w:val="00D601FC"/>
    <w:rsid w:val="00D60CC4"/>
    <w:rsid w:val="00D62D9A"/>
    <w:rsid w:val="00D639BB"/>
    <w:rsid w:val="00D64F5D"/>
    <w:rsid w:val="00D70AE9"/>
    <w:rsid w:val="00D71756"/>
    <w:rsid w:val="00D74EBE"/>
    <w:rsid w:val="00D7579F"/>
    <w:rsid w:val="00D75E57"/>
    <w:rsid w:val="00D76115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914"/>
    <w:rsid w:val="00DC3D84"/>
    <w:rsid w:val="00DC5DF4"/>
    <w:rsid w:val="00DC671B"/>
    <w:rsid w:val="00DC7422"/>
    <w:rsid w:val="00DC7E34"/>
    <w:rsid w:val="00DD0F3A"/>
    <w:rsid w:val="00DD187C"/>
    <w:rsid w:val="00DE1C08"/>
    <w:rsid w:val="00DE1DD6"/>
    <w:rsid w:val="00DE6297"/>
    <w:rsid w:val="00DF12F6"/>
    <w:rsid w:val="00DF1F17"/>
    <w:rsid w:val="00DF3B09"/>
    <w:rsid w:val="00DF70D7"/>
    <w:rsid w:val="00E04C24"/>
    <w:rsid w:val="00E05F4B"/>
    <w:rsid w:val="00E0601C"/>
    <w:rsid w:val="00E068F6"/>
    <w:rsid w:val="00E100BC"/>
    <w:rsid w:val="00E1035B"/>
    <w:rsid w:val="00E124B0"/>
    <w:rsid w:val="00E1423A"/>
    <w:rsid w:val="00E1628D"/>
    <w:rsid w:val="00E21127"/>
    <w:rsid w:val="00E22071"/>
    <w:rsid w:val="00E23F7D"/>
    <w:rsid w:val="00E240A0"/>
    <w:rsid w:val="00E25006"/>
    <w:rsid w:val="00E32A9B"/>
    <w:rsid w:val="00E32B83"/>
    <w:rsid w:val="00E33C5D"/>
    <w:rsid w:val="00E353C4"/>
    <w:rsid w:val="00E358D3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48DC"/>
    <w:rsid w:val="00E6590A"/>
    <w:rsid w:val="00E67712"/>
    <w:rsid w:val="00E71008"/>
    <w:rsid w:val="00E72208"/>
    <w:rsid w:val="00E7238D"/>
    <w:rsid w:val="00E7310B"/>
    <w:rsid w:val="00E7350F"/>
    <w:rsid w:val="00E747A3"/>
    <w:rsid w:val="00E751A9"/>
    <w:rsid w:val="00E7576A"/>
    <w:rsid w:val="00E830C6"/>
    <w:rsid w:val="00E83C68"/>
    <w:rsid w:val="00E84B1B"/>
    <w:rsid w:val="00E8598B"/>
    <w:rsid w:val="00E8654D"/>
    <w:rsid w:val="00E87BB5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109E"/>
    <w:rsid w:val="00EE237A"/>
    <w:rsid w:val="00EE33D0"/>
    <w:rsid w:val="00EE385F"/>
    <w:rsid w:val="00EE3F00"/>
    <w:rsid w:val="00EE4DC5"/>
    <w:rsid w:val="00EE551A"/>
    <w:rsid w:val="00EE6104"/>
    <w:rsid w:val="00EE7DAF"/>
    <w:rsid w:val="00EF0DC2"/>
    <w:rsid w:val="00EF36AC"/>
    <w:rsid w:val="00EF4398"/>
    <w:rsid w:val="00F00877"/>
    <w:rsid w:val="00F0134D"/>
    <w:rsid w:val="00F05D95"/>
    <w:rsid w:val="00F06D51"/>
    <w:rsid w:val="00F07300"/>
    <w:rsid w:val="00F11507"/>
    <w:rsid w:val="00F1238E"/>
    <w:rsid w:val="00F14100"/>
    <w:rsid w:val="00F15E6A"/>
    <w:rsid w:val="00F16C64"/>
    <w:rsid w:val="00F207DD"/>
    <w:rsid w:val="00F20DA7"/>
    <w:rsid w:val="00F22C0B"/>
    <w:rsid w:val="00F23839"/>
    <w:rsid w:val="00F24EC8"/>
    <w:rsid w:val="00F33317"/>
    <w:rsid w:val="00F33F8D"/>
    <w:rsid w:val="00F35A5B"/>
    <w:rsid w:val="00F36F30"/>
    <w:rsid w:val="00F43356"/>
    <w:rsid w:val="00F44038"/>
    <w:rsid w:val="00F453A0"/>
    <w:rsid w:val="00F47B7C"/>
    <w:rsid w:val="00F503AF"/>
    <w:rsid w:val="00F52F37"/>
    <w:rsid w:val="00F54412"/>
    <w:rsid w:val="00F56A31"/>
    <w:rsid w:val="00F56C57"/>
    <w:rsid w:val="00F622B3"/>
    <w:rsid w:val="00F66E4B"/>
    <w:rsid w:val="00F67117"/>
    <w:rsid w:val="00F67287"/>
    <w:rsid w:val="00F67710"/>
    <w:rsid w:val="00F70CAD"/>
    <w:rsid w:val="00F71A45"/>
    <w:rsid w:val="00F72B02"/>
    <w:rsid w:val="00F73CCB"/>
    <w:rsid w:val="00F77378"/>
    <w:rsid w:val="00F80121"/>
    <w:rsid w:val="00F826C1"/>
    <w:rsid w:val="00F83424"/>
    <w:rsid w:val="00F83709"/>
    <w:rsid w:val="00F8377A"/>
    <w:rsid w:val="00F838B9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CCD"/>
    <w:rsid w:val="00FB107B"/>
    <w:rsid w:val="00FB2414"/>
    <w:rsid w:val="00FC16C5"/>
    <w:rsid w:val="00FC6AC6"/>
    <w:rsid w:val="00FC6B6F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25168-4A6E-4AEC-81DB-AA3D484A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9922</TotalTime>
  <Pages>1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1070</cp:revision>
  <cp:lastPrinted>2019-02-11T05:58:00Z</cp:lastPrinted>
  <dcterms:created xsi:type="dcterms:W3CDTF">2015-11-30T07:14:00Z</dcterms:created>
  <dcterms:modified xsi:type="dcterms:W3CDTF">2019-02-11T06:00:00Z</dcterms:modified>
</cp:coreProperties>
</file>